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29F" w:rsidRDefault="007A6D6B">
      <w:pPr>
        <w:rPr>
          <w:b/>
          <w:bCs/>
          <w:sz w:val="32"/>
          <w:szCs w:val="32"/>
        </w:rPr>
      </w:pPr>
      <w:r>
        <w:rPr>
          <w:b/>
          <w:bCs/>
          <w:sz w:val="32"/>
          <w:szCs w:val="32"/>
        </w:rPr>
        <w:t xml:space="preserve">                                               ACQUISIZIONE 24 CFU </w:t>
      </w:r>
    </w:p>
    <w:p w:rsidR="0093129F" w:rsidRDefault="007A6D6B">
      <w:pPr>
        <w:rPr>
          <w:b/>
          <w:bCs/>
          <w:sz w:val="32"/>
          <w:szCs w:val="32"/>
        </w:rPr>
      </w:pPr>
      <w:r>
        <w:rPr>
          <w:b/>
          <w:bCs/>
          <w:sz w:val="32"/>
          <w:szCs w:val="32"/>
        </w:rPr>
        <w:t xml:space="preserve">                                  CONVENZIONE IRASE-UNIPEGASO</w:t>
      </w:r>
    </w:p>
    <w:p w:rsidR="0093129F" w:rsidRDefault="007A6D6B">
      <w:pPr>
        <w:rPr>
          <w:b/>
          <w:bCs/>
          <w:sz w:val="32"/>
          <w:szCs w:val="32"/>
        </w:rPr>
      </w:pPr>
      <w:r>
        <w:t xml:space="preserve">In riferimento ai corsi finalizzati al conseguimento dei 24 Crediti Formativi Universitari previsti dal Decreto attuativo </w:t>
      </w:r>
      <w:r>
        <w:t>della 107, quale strumento per accedere al concorso pubblico, per tutti coloro che non sono abilitati, che pur iscritti nelle graduatorie di terza fascia non hanno maturato I trentasei mesi di servizio, l'IRASE nazionale ha stipulato una Convenzione l’Univ</w:t>
      </w:r>
      <w:r>
        <w:t xml:space="preserve">ersità Telematica Pegaso, Campus Academy. </w:t>
      </w:r>
    </w:p>
    <w:p w:rsidR="0093129F" w:rsidRDefault="007A6D6B">
      <w:r>
        <w:t>La convenzione prevede per gli studenti iscritti attraverso le strutture Irase Nazionale o territoriale un percorso didattico idoneo al conseguimento dei 24 CFU al costo di euro 500,00, a condizioni vantaggiose, r</w:t>
      </w:r>
      <w:r>
        <w:t xml:space="preserve">ispetto a quelle comunemente offerte. </w:t>
      </w:r>
    </w:p>
    <w:p w:rsidR="0093129F" w:rsidRDefault="007A6D6B">
      <w:r>
        <w:rPr>
          <w:b/>
          <w:bCs/>
          <w:sz w:val="28"/>
          <w:szCs w:val="28"/>
        </w:rPr>
        <w:t xml:space="preserve">  MODALITÀ DI ATTUAZIONE</w:t>
      </w:r>
    </w:p>
    <w:p w:rsidR="0093129F" w:rsidRDefault="007A6D6B">
      <w:r>
        <w:t>Per acquisire 24 CFU in discipline antropo-psico-pedagogiche e in metodologie e tecnologie didattiche (decreto legislativo 13 aprile 2017 n. 59 e decreto 616 del 10 agosto 2017), la Convenzion</w:t>
      </w:r>
      <w:r>
        <w:t>e prevede la seguente proposta formativa:</w:t>
      </w:r>
    </w:p>
    <w:p w:rsidR="0093129F" w:rsidRDefault="007A6D6B">
      <w:r>
        <w:t>Costo totale percorso 24 cfu = 500 €</w:t>
      </w:r>
    </w:p>
    <w:p w:rsidR="0093129F" w:rsidRDefault="007A6D6B">
      <w:r>
        <w:t>• n. 12 cfu da acquisire in modalità telematica;</w:t>
      </w:r>
    </w:p>
    <w:p w:rsidR="0093129F" w:rsidRDefault="007A6D6B">
      <w:r>
        <w:t>• n. 12 cfu in presenza.</w:t>
      </w:r>
    </w:p>
    <w:p w:rsidR="0093129F" w:rsidRDefault="007A6D6B">
      <w:r>
        <w:rPr>
          <w:b/>
          <w:bCs/>
          <w:sz w:val="28"/>
          <w:szCs w:val="28"/>
        </w:rPr>
        <w:t xml:space="preserve">ARTICOLAZIONE </w:t>
      </w:r>
    </w:p>
    <w:tbl>
      <w:tblPr>
        <w:tblStyle w:val="TableNormal"/>
        <w:tblW w:w="101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CellMar>
          <w:top w:w="0" w:type="dxa"/>
          <w:left w:w="0" w:type="dxa"/>
          <w:bottom w:w="0" w:type="dxa"/>
          <w:right w:w="0" w:type="dxa"/>
        </w:tblCellMar>
        <w:tblLook w:val="04A0"/>
      </w:tblPr>
      <w:tblGrid>
        <w:gridCol w:w="7260"/>
        <w:gridCol w:w="1896"/>
        <w:gridCol w:w="972"/>
      </w:tblGrid>
      <w:tr w:rsidR="0093129F">
        <w:tblPrEx>
          <w:tblCellMar>
            <w:top w:w="0" w:type="dxa"/>
            <w:left w:w="0" w:type="dxa"/>
            <w:bottom w:w="0" w:type="dxa"/>
            <w:right w:w="0" w:type="dxa"/>
          </w:tblCellMar>
        </w:tblPrEx>
        <w:trPr>
          <w:trHeight w:val="662"/>
          <w:tblHeader/>
        </w:trPr>
        <w:tc>
          <w:tcPr>
            <w:tcW w:w="7260" w:type="dxa"/>
            <w:tcBorders>
              <w:top w:val="nil"/>
              <w:left w:val="single" w:sz="12" w:space="0" w:color="EFEFEF"/>
              <w:bottom w:val="single" w:sz="12" w:space="0" w:color="EFEFEF"/>
              <w:right w:val="single" w:sz="12" w:space="0" w:color="EFEFEF"/>
            </w:tcBorders>
            <w:shd w:val="clear" w:color="auto" w:fill="FFFFFF"/>
            <w:tcMar>
              <w:top w:w="80" w:type="dxa"/>
              <w:left w:w="80" w:type="dxa"/>
              <w:bottom w:w="80" w:type="dxa"/>
              <w:right w:w="80" w:type="dxa"/>
            </w:tcMar>
          </w:tcPr>
          <w:p w:rsidR="0093129F" w:rsidRDefault="007A6D6B">
            <w:pPr>
              <w:shd w:val="clear" w:color="auto" w:fill="FFFFFF"/>
              <w:spacing w:before="300" w:after="225" w:line="240" w:lineRule="auto"/>
              <w:outlineLvl w:val="2"/>
            </w:pPr>
            <w:r>
              <w:rPr>
                <w:b/>
                <w:bCs/>
              </w:rPr>
              <w:t>Insegnamento</w:t>
            </w:r>
          </w:p>
        </w:tc>
        <w:tc>
          <w:tcPr>
            <w:tcW w:w="1896" w:type="dxa"/>
            <w:tcBorders>
              <w:top w:val="nil"/>
              <w:left w:val="single" w:sz="12" w:space="0" w:color="EFEFEF"/>
              <w:bottom w:val="single" w:sz="12" w:space="0" w:color="EFEFEF"/>
              <w:right w:val="single" w:sz="12" w:space="0" w:color="EFEFEF"/>
            </w:tcBorders>
            <w:shd w:val="clear" w:color="auto" w:fill="FFFFFF"/>
            <w:tcMar>
              <w:top w:w="80" w:type="dxa"/>
              <w:left w:w="80" w:type="dxa"/>
              <w:bottom w:w="80" w:type="dxa"/>
              <w:right w:w="80" w:type="dxa"/>
            </w:tcMar>
          </w:tcPr>
          <w:p w:rsidR="0093129F" w:rsidRDefault="007A6D6B">
            <w:pPr>
              <w:shd w:val="clear" w:color="auto" w:fill="FFFFFF"/>
              <w:spacing w:before="300" w:after="225" w:line="240" w:lineRule="auto"/>
              <w:outlineLvl w:val="2"/>
            </w:pPr>
            <w:r>
              <w:rPr>
                <w:b/>
                <w:bCs/>
              </w:rPr>
              <w:t>SSD</w:t>
            </w:r>
          </w:p>
        </w:tc>
        <w:tc>
          <w:tcPr>
            <w:tcW w:w="972" w:type="dxa"/>
            <w:tcBorders>
              <w:top w:val="nil"/>
              <w:left w:val="single" w:sz="12" w:space="0" w:color="EFEFEF"/>
              <w:bottom w:val="single" w:sz="12" w:space="0" w:color="EFEFEF"/>
              <w:right w:val="single" w:sz="12" w:space="0" w:color="EFEFEF"/>
            </w:tcBorders>
            <w:shd w:val="clear" w:color="auto" w:fill="FFFFFF"/>
            <w:tcMar>
              <w:top w:w="80" w:type="dxa"/>
              <w:left w:w="80" w:type="dxa"/>
              <w:bottom w:w="80" w:type="dxa"/>
              <w:right w:w="80" w:type="dxa"/>
            </w:tcMar>
          </w:tcPr>
          <w:p w:rsidR="0093129F" w:rsidRDefault="007A6D6B">
            <w:pPr>
              <w:shd w:val="clear" w:color="auto" w:fill="FFFFFF"/>
              <w:spacing w:before="300" w:after="225" w:line="240" w:lineRule="auto"/>
              <w:outlineLvl w:val="2"/>
            </w:pPr>
            <w:r>
              <w:rPr>
                <w:b/>
                <w:bCs/>
              </w:rPr>
              <w:t>CFU</w:t>
            </w:r>
          </w:p>
        </w:tc>
      </w:tr>
      <w:tr w:rsidR="0093129F">
        <w:tblPrEx>
          <w:shd w:val="clear" w:color="auto" w:fill="CED7E7"/>
          <w:tblCellMar>
            <w:top w:w="0" w:type="dxa"/>
            <w:left w:w="0" w:type="dxa"/>
            <w:bottom w:w="0" w:type="dxa"/>
            <w:right w:w="0" w:type="dxa"/>
          </w:tblCellMar>
        </w:tblPrEx>
        <w:trPr>
          <w:trHeight w:val="704"/>
        </w:trPr>
        <w:tc>
          <w:tcPr>
            <w:tcW w:w="7260" w:type="dxa"/>
            <w:tcBorders>
              <w:top w:val="single" w:sz="12" w:space="0" w:color="EFEFEF"/>
              <w:left w:val="single" w:sz="12" w:space="0" w:color="EFEFEF"/>
              <w:bottom w:val="single" w:sz="12" w:space="0" w:color="EFEFEF"/>
              <w:right w:val="single" w:sz="12" w:space="0" w:color="EFEFEF"/>
            </w:tcBorders>
            <w:shd w:val="clear" w:color="auto" w:fill="F9F9F9"/>
            <w:tcMar>
              <w:top w:w="80" w:type="dxa"/>
              <w:left w:w="80" w:type="dxa"/>
              <w:bottom w:w="80" w:type="dxa"/>
              <w:right w:w="80" w:type="dxa"/>
            </w:tcMar>
          </w:tcPr>
          <w:p w:rsidR="0093129F" w:rsidRDefault="007A6D6B">
            <w:pPr>
              <w:spacing w:after="300" w:line="270" w:lineRule="atLeast"/>
            </w:pPr>
            <w:r>
              <w:t>Didattica dell'inclusione</w:t>
            </w:r>
          </w:p>
        </w:tc>
        <w:tc>
          <w:tcPr>
            <w:tcW w:w="1896" w:type="dxa"/>
            <w:tcBorders>
              <w:top w:val="single" w:sz="12" w:space="0" w:color="EFEFEF"/>
              <w:left w:val="single" w:sz="12" w:space="0" w:color="EFEFEF"/>
              <w:bottom w:val="single" w:sz="12" w:space="0" w:color="EFEFEF"/>
              <w:right w:val="single" w:sz="12" w:space="0" w:color="EFEFEF"/>
            </w:tcBorders>
            <w:shd w:val="clear" w:color="auto" w:fill="F9F9F9"/>
            <w:tcMar>
              <w:top w:w="80" w:type="dxa"/>
              <w:left w:w="80" w:type="dxa"/>
              <w:bottom w:w="80" w:type="dxa"/>
              <w:right w:w="80" w:type="dxa"/>
            </w:tcMar>
          </w:tcPr>
          <w:p w:rsidR="0093129F" w:rsidRDefault="007A6D6B">
            <w:pPr>
              <w:spacing w:after="300" w:line="270" w:lineRule="atLeast"/>
              <w:jc w:val="center"/>
            </w:pPr>
            <w:r>
              <w:t>M-PED/03</w:t>
            </w:r>
          </w:p>
        </w:tc>
        <w:tc>
          <w:tcPr>
            <w:tcW w:w="972" w:type="dxa"/>
            <w:tcBorders>
              <w:top w:val="single" w:sz="12" w:space="0" w:color="EFEFEF"/>
              <w:left w:val="single" w:sz="12" w:space="0" w:color="EFEFEF"/>
              <w:bottom w:val="single" w:sz="12" w:space="0" w:color="EFEFEF"/>
              <w:right w:val="single" w:sz="12" w:space="0" w:color="EFEFEF"/>
            </w:tcBorders>
            <w:shd w:val="clear" w:color="auto" w:fill="F9F9F9"/>
            <w:tcMar>
              <w:top w:w="80" w:type="dxa"/>
              <w:left w:w="80" w:type="dxa"/>
              <w:bottom w:w="80" w:type="dxa"/>
              <w:right w:w="80" w:type="dxa"/>
            </w:tcMar>
          </w:tcPr>
          <w:p w:rsidR="0093129F" w:rsidRDefault="007A6D6B">
            <w:pPr>
              <w:spacing w:after="300" w:line="270" w:lineRule="atLeast"/>
              <w:jc w:val="center"/>
            </w:pPr>
            <w:r>
              <w:t>6</w:t>
            </w:r>
          </w:p>
        </w:tc>
      </w:tr>
      <w:tr w:rsidR="0093129F">
        <w:tblPrEx>
          <w:shd w:val="clear" w:color="auto" w:fill="CED7E7"/>
          <w:tblCellMar>
            <w:top w:w="0" w:type="dxa"/>
            <w:left w:w="0" w:type="dxa"/>
            <w:bottom w:w="0" w:type="dxa"/>
            <w:right w:w="0" w:type="dxa"/>
          </w:tblCellMar>
        </w:tblPrEx>
        <w:trPr>
          <w:trHeight w:val="692"/>
        </w:trPr>
        <w:tc>
          <w:tcPr>
            <w:tcW w:w="7260" w:type="dxa"/>
            <w:tcBorders>
              <w:top w:val="single" w:sz="12" w:space="0" w:color="EFEFEF"/>
              <w:left w:val="single" w:sz="12" w:space="0" w:color="EFEFEF"/>
              <w:bottom w:val="single" w:sz="12" w:space="0" w:color="EFEFEF"/>
              <w:right w:val="single" w:sz="12" w:space="0" w:color="EFEFEF"/>
            </w:tcBorders>
            <w:shd w:val="clear" w:color="auto" w:fill="FFFFFF"/>
            <w:tcMar>
              <w:top w:w="80" w:type="dxa"/>
              <w:left w:w="80" w:type="dxa"/>
              <w:bottom w:w="80" w:type="dxa"/>
              <w:right w:w="80" w:type="dxa"/>
            </w:tcMar>
          </w:tcPr>
          <w:p w:rsidR="0093129F" w:rsidRDefault="007A6D6B">
            <w:pPr>
              <w:spacing w:after="300" w:line="270" w:lineRule="atLeast"/>
            </w:pPr>
            <w:r>
              <w:t>Tecnologie dell'istruzione e</w:t>
            </w:r>
            <w:r>
              <w:t xml:space="preserve"> dell'apprendimento</w:t>
            </w:r>
          </w:p>
        </w:tc>
        <w:tc>
          <w:tcPr>
            <w:tcW w:w="1896" w:type="dxa"/>
            <w:tcBorders>
              <w:top w:val="single" w:sz="12" w:space="0" w:color="EFEFEF"/>
              <w:left w:val="single" w:sz="12" w:space="0" w:color="EFEFEF"/>
              <w:bottom w:val="single" w:sz="12" w:space="0" w:color="EFEFEF"/>
              <w:right w:val="single" w:sz="12" w:space="0" w:color="EFEFEF"/>
            </w:tcBorders>
            <w:shd w:val="clear" w:color="auto" w:fill="FFFFFF"/>
            <w:tcMar>
              <w:top w:w="80" w:type="dxa"/>
              <w:left w:w="80" w:type="dxa"/>
              <w:bottom w:w="80" w:type="dxa"/>
              <w:right w:w="80" w:type="dxa"/>
            </w:tcMar>
          </w:tcPr>
          <w:p w:rsidR="0093129F" w:rsidRDefault="007A6D6B">
            <w:pPr>
              <w:spacing w:after="300" w:line="270" w:lineRule="atLeast"/>
              <w:jc w:val="center"/>
            </w:pPr>
            <w:r>
              <w:t>M-PED/04</w:t>
            </w:r>
          </w:p>
        </w:tc>
        <w:tc>
          <w:tcPr>
            <w:tcW w:w="972" w:type="dxa"/>
            <w:tcBorders>
              <w:top w:val="single" w:sz="12" w:space="0" w:color="EFEFEF"/>
              <w:left w:val="single" w:sz="12" w:space="0" w:color="EFEFEF"/>
              <w:bottom w:val="single" w:sz="12" w:space="0" w:color="EFEFEF"/>
              <w:right w:val="single" w:sz="12" w:space="0" w:color="EFEFEF"/>
            </w:tcBorders>
            <w:shd w:val="clear" w:color="auto" w:fill="FFFFFF"/>
            <w:tcMar>
              <w:top w:w="80" w:type="dxa"/>
              <w:left w:w="80" w:type="dxa"/>
              <w:bottom w:w="80" w:type="dxa"/>
              <w:right w:w="80" w:type="dxa"/>
            </w:tcMar>
          </w:tcPr>
          <w:p w:rsidR="0093129F" w:rsidRDefault="007A6D6B">
            <w:pPr>
              <w:spacing w:after="300" w:line="270" w:lineRule="atLeast"/>
              <w:jc w:val="center"/>
            </w:pPr>
            <w:r>
              <w:t>6</w:t>
            </w:r>
          </w:p>
        </w:tc>
      </w:tr>
      <w:tr w:rsidR="0093129F">
        <w:tblPrEx>
          <w:shd w:val="clear" w:color="auto" w:fill="CED7E7"/>
          <w:tblCellMar>
            <w:top w:w="0" w:type="dxa"/>
            <w:left w:w="0" w:type="dxa"/>
            <w:bottom w:w="0" w:type="dxa"/>
            <w:right w:w="0" w:type="dxa"/>
          </w:tblCellMar>
        </w:tblPrEx>
        <w:trPr>
          <w:trHeight w:val="704"/>
        </w:trPr>
        <w:tc>
          <w:tcPr>
            <w:tcW w:w="7260" w:type="dxa"/>
            <w:tcBorders>
              <w:top w:val="single" w:sz="12" w:space="0" w:color="EFEFEF"/>
              <w:left w:val="single" w:sz="12" w:space="0" w:color="EFEFEF"/>
              <w:bottom w:val="single" w:sz="12" w:space="0" w:color="EFEFEF"/>
              <w:right w:val="single" w:sz="12" w:space="0" w:color="EFEFEF"/>
            </w:tcBorders>
            <w:shd w:val="clear" w:color="auto" w:fill="F9F9F9"/>
            <w:tcMar>
              <w:top w:w="80" w:type="dxa"/>
              <w:left w:w="80" w:type="dxa"/>
              <w:bottom w:w="80" w:type="dxa"/>
              <w:right w:w="80" w:type="dxa"/>
            </w:tcMar>
          </w:tcPr>
          <w:p w:rsidR="0093129F" w:rsidRDefault="007A6D6B">
            <w:pPr>
              <w:spacing w:after="300" w:line="270" w:lineRule="atLeast"/>
            </w:pPr>
            <w:r>
              <w:t>Psicologia generale</w:t>
            </w:r>
          </w:p>
        </w:tc>
        <w:tc>
          <w:tcPr>
            <w:tcW w:w="1896" w:type="dxa"/>
            <w:tcBorders>
              <w:top w:val="single" w:sz="12" w:space="0" w:color="EFEFEF"/>
              <w:left w:val="single" w:sz="12" w:space="0" w:color="EFEFEF"/>
              <w:bottom w:val="single" w:sz="12" w:space="0" w:color="EFEFEF"/>
              <w:right w:val="single" w:sz="12" w:space="0" w:color="EFEFEF"/>
            </w:tcBorders>
            <w:shd w:val="clear" w:color="auto" w:fill="F9F9F9"/>
            <w:tcMar>
              <w:top w:w="80" w:type="dxa"/>
              <w:left w:w="80" w:type="dxa"/>
              <w:bottom w:w="80" w:type="dxa"/>
              <w:right w:w="80" w:type="dxa"/>
            </w:tcMar>
          </w:tcPr>
          <w:p w:rsidR="0093129F" w:rsidRDefault="007A6D6B">
            <w:pPr>
              <w:spacing w:after="300" w:line="270" w:lineRule="atLeast"/>
              <w:jc w:val="center"/>
            </w:pPr>
            <w:r>
              <w:t>M-PSI/01</w:t>
            </w:r>
          </w:p>
        </w:tc>
        <w:tc>
          <w:tcPr>
            <w:tcW w:w="972" w:type="dxa"/>
            <w:tcBorders>
              <w:top w:val="single" w:sz="12" w:space="0" w:color="EFEFEF"/>
              <w:left w:val="single" w:sz="12" w:space="0" w:color="EFEFEF"/>
              <w:bottom w:val="single" w:sz="12" w:space="0" w:color="EFEFEF"/>
              <w:right w:val="single" w:sz="12" w:space="0" w:color="EFEFEF"/>
            </w:tcBorders>
            <w:shd w:val="clear" w:color="auto" w:fill="F9F9F9"/>
            <w:tcMar>
              <w:top w:w="80" w:type="dxa"/>
              <w:left w:w="80" w:type="dxa"/>
              <w:bottom w:w="80" w:type="dxa"/>
              <w:right w:w="80" w:type="dxa"/>
            </w:tcMar>
          </w:tcPr>
          <w:p w:rsidR="0093129F" w:rsidRDefault="007A6D6B">
            <w:pPr>
              <w:spacing w:after="300" w:line="270" w:lineRule="atLeast"/>
              <w:jc w:val="center"/>
            </w:pPr>
            <w:r>
              <w:t>6</w:t>
            </w:r>
          </w:p>
        </w:tc>
      </w:tr>
      <w:tr w:rsidR="0093129F">
        <w:tblPrEx>
          <w:shd w:val="clear" w:color="auto" w:fill="CED7E7"/>
          <w:tblCellMar>
            <w:top w:w="0" w:type="dxa"/>
            <w:left w:w="0" w:type="dxa"/>
            <w:bottom w:w="0" w:type="dxa"/>
            <w:right w:w="0" w:type="dxa"/>
          </w:tblCellMar>
        </w:tblPrEx>
        <w:trPr>
          <w:trHeight w:val="692"/>
        </w:trPr>
        <w:tc>
          <w:tcPr>
            <w:tcW w:w="7260" w:type="dxa"/>
            <w:tcBorders>
              <w:top w:val="single" w:sz="12" w:space="0" w:color="EFEFEF"/>
              <w:left w:val="single" w:sz="12" w:space="0" w:color="EFEFEF"/>
              <w:bottom w:val="single" w:sz="12" w:space="0" w:color="EFEFEF"/>
              <w:right w:val="single" w:sz="12" w:space="0" w:color="EFEFEF"/>
            </w:tcBorders>
            <w:shd w:val="clear" w:color="auto" w:fill="FFFFFF"/>
            <w:tcMar>
              <w:top w:w="80" w:type="dxa"/>
              <w:left w:w="80" w:type="dxa"/>
              <w:bottom w:w="80" w:type="dxa"/>
              <w:right w:w="80" w:type="dxa"/>
            </w:tcMar>
          </w:tcPr>
          <w:p w:rsidR="0093129F" w:rsidRDefault="007A6D6B">
            <w:pPr>
              <w:spacing w:after="300" w:line="270" w:lineRule="atLeast"/>
            </w:pPr>
            <w:r>
              <w:t>Antropologia culturale</w:t>
            </w:r>
          </w:p>
        </w:tc>
        <w:tc>
          <w:tcPr>
            <w:tcW w:w="1896" w:type="dxa"/>
            <w:tcBorders>
              <w:top w:val="single" w:sz="12" w:space="0" w:color="EFEFEF"/>
              <w:left w:val="single" w:sz="12" w:space="0" w:color="EFEFEF"/>
              <w:bottom w:val="single" w:sz="12" w:space="0" w:color="EFEFEF"/>
              <w:right w:val="single" w:sz="12" w:space="0" w:color="EFEFEF"/>
            </w:tcBorders>
            <w:shd w:val="clear" w:color="auto" w:fill="FFFFFF"/>
            <w:tcMar>
              <w:top w:w="80" w:type="dxa"/>
              <w:left w:w="80" w:type="dxa"/>
              <w:bottom w:w="80" w:type="dxa"/>
              <w:right w:w="80" w:type="dxa"/>
            </w:tcMar>
          </w:tcPr>
          <w:p w:rsidR="0093129F" w:rsidRDefault="007A6D6B">
            <w:pPr>
              <w:spacing w:after="300" w:line="270" w:lineRule="atLeast"/>
              <w:jc w:val="center"/>
            </w:pPr>
            <w:r>
              <w:t>M-DEA/01</w:t>
            </w:r>
          </w:p>
        </w:tc>
        <w:tc>
          <w:tcPr>
            <w:tcW w:w="972" w:type="dxa"/>
            <w:tcBorders>
              <w:top w:val="single" w:sz="12" w:space="0" w:color="EFEFEF"/>
              <w:left w:val="single" w:sz="12" w:space="0" w:color="EFEFEF"/>
              <w:bottom w:val="single" w:sz="12" w:space="0" w:color="EFEFEF"/>
              <w:right w:val="single" w:sz="12" w:space="0" w:color="EFEFEF"/>
            </w:tcBorders>
            <w:shd w:val="clear" w:color="auto" w:fill="FFFFFF"/>
            <w:tcMar>
              <w:top w:w="80" w:type="dxa"/>
              <w:left w:w="80" w:type="dxa"/>
              <w:bottom w:w="80" w:type="dxa"/>
              <w:right w:w="80" w:type="dxa"/>
            </w:tcMar>
          </w:tcPr>
          <w:p w:rsidR="0093129F" w:rsidRDefault="007A6D6B">
            <w:pPr>
              <w:spacing w:after="300" w:line="270" w:lineRule="atLeast"/>
              <w:jc w:val="center"/>
            </w:pPr>
            <w:r>
              <w:t>6</w:t>
            </w:r>
          </w:p>
        </w:tc>
      </w:tr>
      <w:tr w:rsidR="0093129F">
        <w:tblPrEx>
          <w:shd w:val="clear" w:color="auto" w:fill="CED7E7"/>
          <w:tblCellMar>
            <w:top w:w="0" w:type="dxa"/>
            <w:left w:w="0" w:type="dxa"/>
            <w:bottom w:w="0" w:type="dxa"/>
            <w:right w:w="0" w:type="dxa"/>
          </w:tblCellMar>
        </w:tblPrEx>
        <w:trPr>
          <w:trHeight w:val="692"/>
        </w:trPr>
        <w:tc>
          <w:tcPr>
            <w:tcW w:w="10128" w:type="dxa"/>
            <w:gridSpan w:val="3"/>
            <w:tcBorders>
              <w:top w:val="single" w:sz="12" w:space="0" w:color="EFEFEF"/>
              <w:left w:val="single" w:sz="12" w:space="0" w:color="EFEFEF"/>
              <w:bottom w:val="single" w:sz="12" w:space="0" w:color="EFEFEF"/>
              <w:right w:val="single" w:sz="12" w:space="0" w:color="EFEFEF"/>
            </w:tcBorders>
            <w:shd w:val="clear" w:color="auto" w:fill="F9F9F9"/>
            <w:tcMar>
              <w:top w:w="80" w:type="dxa"/>
              <w:left w:w="80" w:type="dxa"/>
              <w:bottom w:w="80" w:type="dxa"/>
              <w:right w:w="80" w:type="dxa"/>
            </w:tcMar>
          </w:tcPr>
          <w:p w:rsidR="0093129F" w:rsidRDefault="007A6D6B">
            <w:pPr>
              <w:spacing w:after="300" w:line="270" w:lineRule="atLeast"/>
              <w:jc w:val="right"/>
            </w:pPr>
            <w:r>
              <w:rPr>
                <w:b/>
                <w:bCs/>
              </w:rPr>
              <w:t>Costo totale percorso 24 cfu = 500 €</w:t>
            </w:r>
          </w:p>
        </w:tc>
      </w:tr>
    </w:tbl>
    <w:p w:rsidR="0093129F" w:rsidRDefault="0093129F">
      <w:pPr>
        <w:widowControl w:val="0"/>
        <w:spacing w:line="240" w:lineRule="auto"/>
      </w:pPr>
    </w:p>
    <w:p w:rsidR="0093129F" w:rsidRDefault="0093129F">
      <w:pPr>
        <w:rPr>
          <w:b/>
          <w:bCs/>
          <w:sz w:val="28"/>
          <w:szCs w:val="28"/>
        </w:rPr>
      </w:pPr>
    </w:p>
    <w:p w:rsidR="0093129F" w:rsidRDefault="0093129F">
      <w:pPr>
        <w:rPr>
          <w:b/>
          <w:bCs/>
          <w:sz w:val="28"/>
          <w:szCs w:val="28"/>
        </w:rPr>
      </w:pPr>
    </w:p>
    <w:p w:rsidR="0093129F" w:rsidRDefault="007A6D6B">
      <w:pPr>
        <w:rPr>
          <w:b/>
          <w:bCs/>
          <w:sz w:val="28"/>
          <w:szCs w:val="28"/>
        </w:rPr>
      </w:pPr>
      <w:r>
        <w:rPr>
          <w:b/>
          <w:bCs/>
          <w:sz w:val="28"/>
          <w:szCs w:val="28"/>
        </w:rPr>
        <w:t xml:space="preserve">                                                      ATTIVITA’ DIDATTICHE </w:t>
      </w:r>
    </w:p>
    <w:p w:rsidR="0093129F" w:rsidRDefault="007A6D6B">
      <w:r>
        <w:t xml:space="preserve">L'avvio delle attività in presenza è </w:t>
      </w:r>
      <w:r>
        <w:t>previsto nel mese di novembre 2017 chiusura del percorso gennaio 2018.</w:t>
      </w:r>
    </w:p>
    <w:p w:rsidR="0093129F" w:rsidRDefault="007A6D6B">
      <w:r>
        <w:t xml:space="preserve">Sono previste 36 ore di lezione per ogni insegnamento in presenza presso una delle sedi dell'Ateneo scelto dallo studente. </w:t>
      </w:r>
    </w:p>
    <w:p w:rsidR="0093129F" w:rsidRDefault="007A6D6B">
      <w:r>
        <w:t>per i 12 crediti erogati in via telematica, offerto agli stud</w:t>
      </w:r>
      <w:r>
        <w:t xml:space="preserve">enti iscritti, e' prevista una attività di tutoraggio in capo al Campus Academy, rientrante nella stessa convenzione senza costi aggiuntivi. </w:t>
      </w:r>
    </w:p>
    <w:p w:rsidR="0093129F" w:rsidRDefault="007A6D6B">
      <w:r>
        <w:t xml:space="preserve">Agli iscritti tramite identificativo IRASE saranno forniti i dati ed i recapiti del coordinatore di tale servizio </w:t>
      </w:r>
      <w:r>
        <w:t>tramite una modulistica allegata alla presente.</w:t>
      </w:r>
    </w:p>
    <w:p w:rsidR="0093129F" w:rsidRDefault="007A6D6B">
      <w:r>
        <w:t>Il primo incontro in presenza utile per il conseguimento dei relativi 12 crediti, sarà tenuto da un esperto formatore di I.R.A.S.E. NAZIONALE per la lettura ragionata del Decreto Legislativo del 13 aprile 201</w:t>
      </w:r>
      <w:r>
        <w:t>7, n.59 e per fornire ai presenti chiarimenti e consigli in merito al loro percorso didattico e professionale.</w:t>
      </w:r>
    </w:p>
    <w:p w:rsidR="0093129F" w:rsidRDefault="007A6D6B">
      <w:r>
        <w:t>Per tutti gli studenti che devono recuperare solo una parte dei crediti è prevista l’iscrizione agli esami singoli di cui il contributo è così de</w:t>
      </w:r>
      <w:r>
        <w:t>terminato:</w:t>
      </w:r>
    </w:p>
    <w:p w:rsidR="0093129F" w:rsidRDefault="007A6D6B">
      <w:r>
        <w:t>- 120,00 euro come contributo per le procedure di iscrizione;</w:t>
      </w:r>
    </w:p>
    <w:p w:rsidR="0093129F" w:rsidRDefault="007A6D6B">
      <w:r>
        <w:t>- 25,00 euro per ogni CFU (Credito Formativo Universitario), invece di 50,00 euro previsti per tutti gli altri iscritti.</w:t>
      </w:r>
    </w:p>
    <w:p w:rsidR="0093129F" w:rsidRDefault="007A6D6B">
      <w:r>
        <w:t xml:space="preserve">Nel caso in cui gli studenti non dovessero superare uno o più </w:t>
      </w:r>
      <w:r>
        <w:t xml:space="preserve">esami come da loro calendarizzati, questi potranno sostenere nuovamente le prove senza alcun costo aggiuntivo. </w:t>
      </w:r>
    </w:p>
    <w:p w:rsidR="0093129F" w:rsidRDefault="007A6D6B">
      <w:pPr>
        <w:rPr>
          <w:b/>
          <w:bCs/>
          <w:sz w:val="28"/>
          <w:szCs w:val="28"/>
        </w:rPr>
      </w:pPr>
      <w:r>
        <w:rPr>
          <w:b/>
          <w:bCs/>
          <w:sz w:val="28"/>
          <w:szCs w:val="28"/>
        </w:rPr>
        <w:t xml:space="preserve">                                                  MODALITÀ DI PAGAMENTO</w:t>
      </w:r>
    </w:p>
    <w:p w:rsidR="0093129F" w:rsidRDefault="007A6D6B">
      <w:r>
        <w:t>Il pagamento potrà essere effettuato in un’unica soluzione o suddiviso i</w:t>
      </w:r>
      <w:r>
        <w:t xml:space="preserve">n due rate da 250 euro cadauna, di cui la prima da versare obbligatoriamente all’atto dell’iscrizione e la secondo entro e non oltre 60 giorni dall’immatricolazione. </w:t>
      </w:r>
    </w:p>
    <w:p w:rsidR="0093129F" w:rsidRDefault="007A6D6B">
      <w:pPr>
        <w:rPr>
          <w:b/>
          <w:bCs/>
          <w:sz w:val="28"/>
          <w:szCs w:val="28"/>
        </w:rPr>
      </w:pPr>
      <w:r>
        <w:rPr>
          <w:b/>
          <w:bCs/>
          <w:sz w:val="28"/>
          <w:szCs w:val="28"/>
        </w:rPr>
        <w:t xml:space="preserve">                                                             BENEFICIARI </w:t>
      </w:r>
    </w:p>
    <w:p w:rsidR="0093129F" w:rsidRDefault="007A6D6B">
      <w:r>
        <w:t>Lo studente, pe</w:t>
      </w:r>
      <w:r>
        <w:t xml:space="preserve">r beneficiare delle agevolazioni, deve essere riconosciuto da  </w:t>
      </w:r>
      <w:r>
        <w:rPr>
          <w:b/>
          <w:bCs/>
        </w:rPr>
        <w:t>I. R.A.S.E NAZIONALE</w:t>
      </w:r>
      <w:r>
        <w:t xml:space="preserve"> o </w:t>
      </w:r>
      <w:r>
        <w:rPr>
          <w:b/>
          <w:bCs/>
        </w:rPr>
        <w:t>territoriale</w:t>
      </w:r>
      <w:r>
        <w:t xml:space="preserve"> tra gli iscritti alla </w:t>
      </w:r>
      <w:r>
        <w:rPr>
          <w:b/>
          <w:bCs/>
        </w:rPr>
        <w:t>Uilscuola</w:t>
      </w:r>
      <w:r w:rsidR="006F2EE5">
        <w:rPr>
          <w:b/>
          <w:bCs/>
        </w:rPr>
        <w:t>.</w:t>
      </w:r>
      <w:r>
        <w:rPr>
          <w:b/>
          <w:bCs/>
        </w:rPr>
        <w:t xml:space="preserve"> </w:t>
      </w:r>
    </w:p>
    <w:p w:rsidR="0093129F" w:rsidRDefault="007A6D6B">
      <w:r>
        <w:t>L’iscrizione  avviene con le consuete modalità  prescelte dalle strutture territoriali UIL Scuola per i lavo</w:t>
      </w:r>
      <w:r>
        <w:t>ratori precari o in cerca di prima occupazione, quale servizio aggiuntivo rispetto a quelli già praticati   a livello nazionale o dei singoli territori, a favore di queste categorie sociali.</w:t>
      </w:r>
    </w:p>
    <w:p w:rsidR="0093129F" w:rsidRDefault="007A6D6B">
      <w:r>
        <w:t>Nel rispetto degli specifici  accordi tra Uilscuola e IRASE nazio</w:t>
      </w:r>
      <w:r>
        <w:t xml:space="preserve">nale lo studente deve </w:t>
      </w:r>
      <w:r>
        <w:rPr>
          <w:b/>
          <w:bCs/>
        </w:rPr>
        <w:t>essere certificato</w:t>
      </w:r>
      <w:r>
        <w:t xml:space="preserve"> come </w:t>
      </w:r>
      <w:r>
        <w:rPr>
          <w:b/>
          <w:bCs/>
        </w:rPr>
        <w:t>iscritto alla  UILScuola</w:t>
      </w:r>
      <w:r>
        <w:t xml:space="preserve"> tramite una attestazione rilasciata dal segretario territoriale, nell’allegato modulo di adesione. </w:t>
      </w:r>
    </w:p>
    <w:p w:rsidR="0093129F" w:rsidRDefault="007A6D6B">
      <w:r>
        <w:rPr>
          <w:b/>
          <w:bCs/>
        </w:rPr>
        <w:lastRenderedPageBreak/>
        <w:t>L’iscrizione avverrà attraverso Campus Academy</w:t>
      </w:r>
      <w:r>
        <w:t xml:space="preserve"> che curerà anche il servizio di tutora</w:t>
      </w:r>
      <w:r>
        <w:t>ggio gratuito per il conseguimento dei 12 crediti che possono essere recuperati in via telematica, riempendo i moduli di adesione ed iscrizione scaricabili attraverso   i siti delle sezioni territoriali di Uilscuola.</w:t>
      </w:r>
    </w:p>
    <w:p w:rsidR="006F2EE5" w:rsidRDefault="006F2EE5">
      <w:r>
        <w:t>Salvo mavica. segretario</w:t>
      </w:r>
    </w:p>
    <w:sectPr w:rsidR="006F2EE5" w:rsidSect="0093129F">
      <w:headerReference w:type="default" r:id="rId6"/>
      <w:footerReference w:type="default" r:id="rId7"/>
      <w:pgSz w:w="11900" w:h="16840"/>
      <w:pgMar w:top="1417" w:right="1134" w:bottom="1134" w:left="1134"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D6B" w:rsidRDefault="007A6D6B" w:rsidP="0093129F">
      <w:pPr>
        <w:spacing w:after="0" w:line="240" w:lineRule="auto"/>
      </w:pPr>
      <w:r>
        <w:separator/>
      </w:r>
    </w:p>
  </w:endnote>
  <w:endnote w:type="continuationSeparator" w:id="1">
    <w:p w:rsidR="007A6D6B" w:rsidRDefault="007A6D6B" w:rsidP="009312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29F" w:rsidRDefault="0093129F">
    <w:pPr>
      <w:pStyle w:val="Intestazionee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D6B" w:rsidRDefault="007A6D6B" w:rsidP="0093129F">
      <w:pPr>
        <w:spacing w:after="0" w:line="240" w:lineRule="auto"/>
      </w:pPr>
      <w:r>
        <w:separator/>
      </w:r>
    </w:p>
  </w:footnote>
  <w:footnote w:type="continuationSeparator" w:id="1">
    <w:p w:rsidR="007A6D6B" w:rsidRDefault="007A6D6B" w:rsidP="009312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29F" w:rsidRDefault="0093129F">
    <w:pPr>
      <w:pStyle w:val="Intestazioneepidipagin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characterSpacingControl w:val="doNotCompress"/>
  <w:footnotePr>
    <w:footnote w:id="0"/>
    <w:footnote w:id="1"/>
  </w:footnotePr>
  <w:endnotePr>
    <w:endnote w:id="0"/>
    <w:endnote w:id="1"/>
  </w:endnotePr>
  <w:compat>
    <w:useFELayout/>
  </w:compat>
  <w:rsids>
    <w:rsidRoot w:val="0093129F"/>
    <w:rsid w:val="006F2EE5"/>
    <w:rsid w:val="007A6D6B"/>
    <w:rsid w:val="009312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93129F"/>
    <w:pPr>
      <w:spacing w:after="200" w:line="276"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93129F"/>
    <w:rPr>
      <w:u w:val="single"/>
    </w:rPr>
  </w:style>
  <w:style w:type="table" w:customStyle="1" w:styleId="TableNormal">
    <w:name w:val="Table Normal"/>
    <w:rsid w:val="0093129F"/>
    <w:tblPr>
      <w:tblInd w:w="0" w:type="dxa"/>
      <w:tblCellMar>
        <w:top w:w="0" w:type="dxa"/>
        <w:left w:w="0" w:type="dxa"/>
        <w:bottom w:w="0" w:type="dxa"/>
        <w:right w:w="0" w:type="dxa"/>
      </w:tblCellMar>
    </w:tblPr>
  </w:style>
  <w:style w:type="paragraph" w:customStyle="1" w:styleId="Intestazioneepidipagina">
    <w:name w:val="Intestazione e piè di pagina"/>
    <w:rsid w:val="0093129F"/>
    <w:pPr>
      <w:tabs>
        <w:tab w:val="right" w:pos="9020"/>
      </w:tabs>
    </w:pPr>
    <w:rPr>
      <w:rFonts w:ascii="Helvetica" w:hAnsi="Helvetica" w:cs="Arial Unicode MS"/>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3672</Characters>
  <Application>Microsoft Office Word</Application>
  <DocSecurity>0</DocSecurity>
  <Lines>30</Lines>
  <Paragraphs>8</Paragraphs>
  <ScaleCrop>false</ScaleCrop>
  <Company/>
  <LinksUpToDate>false</LinksUpToDate>
  <CharactersWithSpaces>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Romeo</dc:creator>
  <cp:lastModifiedBy>Angela Romeo</cp:lastModifiedBy>
  <cp:revision>2</cp:revision>
  <dcterms:created xsi:type="dcterms:W3CDTF">2017-10-31T18:46:00Z</dcterms:created>
  <dcterms:modified xsi:type="dcterms:W3CDTF">2017-10-31T18:46:00Z</dcterms:modified>
</cp:coreProperties>
</file>