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spacing w:after="0" w:line="240" w:lineRule="auto"/>
        <w:rPr>
          <w:color w:val="1f497d"/>
          <w:sz w:val="20"/>
          <w:szCs w:val="20"/>
          <w:u w:color="1f497d"/>
        </w:rPr>
      </w:pPr>
      <w:r>
        <w:rPr>
          <w:color w:val="1f497d"/>
          <w:sz w:val="20"/>
          <w:szCs w:val="20"/>
          <w:u w:color="1f497d"/>
          <w:rtl w:val="0"/>
          <w:lang w:val="it-IT"/>
        </w:rPr>
        <w:t xml:space="preserve">         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12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612"/>
            <w:tcBorders>
              <w:top w:val="single" w:color="4f81bd" w:sz="8" w:space="0" w:shadow="0" w:frame="0"/>
              <w:left w:val="single" w:color="4f81bd" w:sz="8" w:space="0" w:shadow="0" w:frame="0"/>
              <w:bottom w:val="single" w:color="4f81bd" w:sz="8" w:space="0" w:shadow="0" w:frame="0"/>
              <w:right w:val="single" w:color="4f81bd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"/>
              <w:spacing w:before="100" w:after="100" w:line="20" w:lineRule="atLeast"/>
              <w:ind w:left="0" w:firstLine="0"/>
              <w:jc w:val="right"/>
            </w:pPr>
            <w:r>
              <w:rPr>
                <w:b w:val="1"/>
                <w:bCs w:val="1"/>
                <w:color w:val="ffffff"/>
                <w:sz w:val="40"/>
                <w:szCs w:val="40"/>
                <w:u w:color="ffffff"/>
                <w:rtl w:val="0"/>
                <w:lang w:val="it-IT"/>
              </w:rPr>
              <w:t>La valutazione dei dirigenti scolastici</w:t>
            </w:r>
          </w:p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9612"/>
            <w:tcBorders>
              <w:top w:val="single" w:color="4f81bd" w:sz="8" w:space="0" w:shadow="0" w:frame="0"/>
              <w:left w:val="single" w:color="4f81bd" w:sz="8" w:space="0" w:shadow="0" w:frame="0"/>
              <w:bottom w:val="single" w:color="4f81bd" w:sz="8" w:space="0" w:shadow="0" w:frame="0"/>
              <w:right w:val="single" w:color="4f81bd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"/>
              <w:spacing w:before="100" w:after="100" w:line="20" w:lineRule="atLeast"/>
              <w:ind w:left="0" w:firstLine="0"/>
              <w:jc w:val="right"/>
            </w:pPr>
            <w:r>
              <w:rPr>
                <w:color w:val="ffffff"/>
                <w:sz w:val="32"/>
                <w:szCs w:val="32"/>
                <w:u w:color="ffffff"/>
                <w:rtl w:val="0"/>
                <w:lang w:val="it-IT"/>
              </w:rPr>
              <w:t xml:space="preserve">Il punto della situazione </w:t>
            </w:r>
          </w:p>
        </w:tc>
      </w:tr>
      <w:tr>
        <w:tblPrEx>
          <w:shd w:val="clear" w:color="auto" w:fill="ced7e7"/>
        </w:tblPrEx>
        <w:trPr>
          <w:trHeight w:val="15686" w:hRule="atLeast"/>
        </w:trPr>
        <w:tc>
          <w:tcPr>
            <w:tcW w:type="dxa" w:w="9612"/>
            <w:tcBorders>
              <w:top w:val="single" w:color="4f81bd" w:sz="8" w:space="0" w:shadow="0" w:frame="0"/>
              <w:left w:val="single" w:color="4f81bd" w:sz="8" w:space="0" w:shadow="0" w:frame="0"/>
              <w:bottom w:val="single" w:color="4f81bd" w:sz="8" w:space="0" w:shadow="0" w:frame="0"/>
              <w:right w:val="single" w:color="4f81bd" w:sz="8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84" w:firstLine="0"/>
              <w:rPr>
                <w:b w:val="1"/>
                <w:bCs w:val="1"/>
                <w:color w:val="1d191d"/>
                <w:u w:color="1d191d"/>
                <w:lang w:val="it-IT"/>
              </w:rPr>
            </w:pPr>
          </w:p>
          <w:p>
            <w:pPr>
              <w:pStyle w:val="Paragrafo elenco"/>
              <w:spacing w:before="100" w:after="100" w:line="20" w:lineRule="atLeast"/>
              <w:ind w:left="284" w:right="482" w:firstLine="0"/>
            </w:pP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>Siamo contrari su tutta la valutazione cos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>ì  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come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>impostata, non solo sul questionario.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>Troppa burocrazia che cozza con la scuola dell'autonomia.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>Una valutazione eterodiretta che dovrebbe essere ricondotta all'interno della scuola.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>In questo modo si valuta il burocrate non il dirigente scolastico. E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un'idea di dirigenza che non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i w:val="1"/>
                <w:iCs w:val="1"/>
                <w:color w:val="1f497d"/>
                <w:u w:color="1f497d"/>
                <w:rtl w:val="0"/>
                <w:lang w:val="it-IT"/>
              </w:rPr>
              <w:t>la nostra.</w:t>
            </w:r>
          </w:p>
          <w:p>
            <w:pPr>
              <w:pStyle w:val="Paragrafo elenco"/>
              <w:spacing w:before="100" w:after="100" w:line="20" w:lineRule="atLeast"/>
              <w:ind w:left="284" w:right="482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Questa la posizione della Uil Scuola sintetizzata dal segretario generale, Pino Turi,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dopo la pubblicazione delle Linee Guida per 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attuazione della direttiva sulla valutazione dei dirigenti scolastici. </w:t>
            </w:r>
          </w:p>
          <w:p>
            <w:pPr>
              <w:pStyle w:val="Paragrafo elenco"/>
              <w:spacing w:before="100" w:after="100" w:line="20" w:lineRule="atLeast"/>
              <w:ind w:left="284" w:right="482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La Uil conferma la propria contrariet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ad un modello valutativo tutto burocratizzato che crea approcci eterodiretti e sanzionatori che non si preoccupano di costruire misure di supporto alla professionalit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à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, ignorando i pi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ù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elementari diritti dei lavoratori.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La valutazione, come prospettata dalla direttiva e dalle linee guida, non fa altro che appesantire il lavoro burocratico dei dirigenti che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“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saranno valorizzati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”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non solo dall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analisi dei documenti gi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in uso: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 </w:t>
            </w:r>
          </w:p>
          <w:p>
            <w:pPr>
              <w:pStyle w:val="Paragrafo elenco"/>
              <w:spacing w:before="100" w:after="100" w:line="20" w:lineRule="atLeast"/>
              <w:ind w:left="1416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PTOF, RAV, PdM,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Relazione dei nuclei esterni di valutazione, 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Programma annuale, 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Relazione al Consiglio di istituto entro il 30 giugno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Piano della formazione,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Azioni per il Piano digitale, 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Piano Alternanza scuola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–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lavoro, 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Piano annuale per 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inclusione, 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Patto educativo di responsabilit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à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, 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Regolamento di istituto, 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Valorizzazione professionale dei docenti 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  <w:jc w:val="both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 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  <w:jc w:val="both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I dirigenti dovranno, anche, secondo le linee guida, provvedere a costituire un fascicolo personale e in aggiunta, ancora in via di sviluppo, strumenti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“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quali la rendicontazione sociale e gli strumenti di percezione del servizio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”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.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Ad alimentare questa cascata di adempimenti, anche 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atto di indirizzo al Collegio dei docenti, una sorta di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‘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reflusso giuridico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, in quanto il dirigente scolastico, che presiede e convoca il Collegio dei docenti, finisce per inviare a se stesso 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Atto d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indirizzo. 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Questa procedura, in punta di diritto,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propria di un rapporto tra un organo e un altro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“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organo autonomo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”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che svolge la propria attivit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sulla base di quest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atto d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indirizzo (mandato). Diverso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il rapporto tra dirigente scolastico e collegio dei docenti che un organismo unitario .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Questo tsunami di adempimenti, poi, si arricchir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in prospettiva di altri strumenti-impegni, come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br w:type="textWrapping"/>
              <w:t>“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il bilancio sociale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”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e la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“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rilevazione del servizio espletato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”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.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</w:p>
          <w:p>
            <w:pPr>
              <w:pStyle w:val="Paragrafo elenco"/>
              <w:spacing w:before="100" w:after="100" w:line="20" w:lineRule="atLeast"/>
              <w:ind w:left="284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apprezzamento dell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operato del dirigente, all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interno della comunit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professionale e sociale ottenuto attraverso questionari, non pu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ò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davvero dare 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idea di quello che il dirigente quotidianamente fa, come lo fa, e a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quali risultati giunge ma soprattutto non pu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ò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costituire parte integrante di una valutazione che dovrebbe prendere in esame ben altre azioni.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La valutazione dell'operato del dirigente non si pu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ò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ridurre solo a:</w:t>
            </w:r>
          </w:p>
          <w:p>
            <w:pPr>
              <w:pStyle w:val="Paragrafo elenco"/>
              <w:numPr>
                <w:ilvl w:val="0"/>
                <w:numId w:val="1"/>
              </w:numPr>
              <w:spacing w:before="100" w:after="100" w:line="20" w:lineRule="atLeast"/>
              <w:ind w:right="340"/>
              <w:rPr>
                <w:lang w:val="it-IT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meri risvolti amministrativi, atti e provvedimenti per la cura degli stati giuridici del personale e del patrimonio;</w:t>
            </w:r>
          </w:p>
          <w:p>
            <w:pPr>
              <w:pStyle w:val="Paragrafo elenco"/>
              <w:numPr>
                <w:ilvl w:val="0"/>
                <w:numId w:val="1"/>
              </w:numPr>
              <w:spacing w:before="100" w:after="100" w:line="20" w:lineRule="atLeast"/>
              <w:ind w:right="340"/>
              <w:rPr>
                <w:lang w:val="it-IT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negoziali, contratti, convenzioni, reti, associazioni, accordi di programma; </w:t>
            </w:r>
          </w:p>
          <w:p>
            <w:pPr>
              <w:pStyle w:val="Paragrafo elenco"/>
              <w:numPr>
                <w:ilvl w:val="0"/>
                <w:numId w:val="1"/>
              </w:numPr>
              <w:spacing w:before="100" w:after="100" w:line="20" w:lineRule="atLeast"/>
              <w:ind w:right="340"/>
              <w:rPr>
                <w:lang w:val="it-IT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contrattuali, attuazione degli istituti della contrattazione nazionale e d'istituto. 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 </w:t>
            </w:r>
          </w:p>
          <w:p>
            <w:pPr>
              <w:pStyle w:val="Paragrafo elenco"/>
              <w:spacing w:before="100" w:after="100" w:line="20" w:lineRule="atLeast"/>
              <w:ind w:left="284" w:right="340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C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’è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importante capitolo della missione educativa, delle tecniche, degli apprendimenti e competenze degli allievi che coinvolge tutto il personale.</w:t>
            </w:r>
            <w:r>
              <w:rPr>
                <w:i w:val="1"/>
                <w:i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In sostanza valutare il dirigente significa tout court valutare la scuola, perch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é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, la UIL Scuola non si nasconde che esiste uno stretto rapporto tra qualit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della scuola e qualit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del dirigente, purch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é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questo rapporto, come nelle linee guida non assuma nessun senso e valore deterministico.</w:t>
            </w:r>
          </w:p>
          <w:p>
            <w:pPr>
              <w:pStyle w:val="Paragrafo elenco"/>
              <w:spacing w:before="100" w:after="100" w:line="20" w:lineRule="atLeast"/>
              <w:ind w:left="284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Questo modo di valutare, invece,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non ha alcuna correlazione con il contesto territoriale dove i dirigenti operano e sono lesivi dell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autonomia delle scuole, dei loro organi collegiali e dei dirigenti scolastici stessi, perch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é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non tiene conto della specificit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sia delle molte funzioni attribuite, connesse alle tipiche responsabilit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giuridiche della dirigenza, sia della complessit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dell'istituzione scolastica, densa anche di altre incombenze e prerogative (organi collegiali, relazioni sindacali) che pure incidono, e in profondit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à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, nel tessuto scolastico. </w:t>
            </w:r>
          </w:p>
          <w:p>
            <w:pPr>
              <w:pStyle w:val="Paragrafo elenco"/>
              <w:spacing w:before="100" w:after="100" w:line="20" w:lineRule="atLeast"/>
              <w:ind w:left="284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Senza un sistema indipendente ed autonomo non ci pu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ò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essere un metro di paragone per valutare in modo oggettivo.</w:t>
            </w:r>
          </w:p>
          <w:p>
            <w:pPr>
              <w:pStyle w:val="Paragrafo elenco"/>
              <w:spacing w:before="100" w:after="100" w:line="20" w:lineRule="atLeast"/>
              <w:ind w:left="284" w:firstLine="0"/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Pertanto solo attraverso meccanismi di garanzia, come pu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ò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essere la contrattazione,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si pu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ò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rimediare e rimettere in carreggiata un convoglio che sta deragliando paurosamente.</w:t>
            </w:r>
            <w:r/>
          </w:p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9612"/>
            <w:tcBorders>
              <w:top w:val="single" w:color="4f81bd" w:sz="8" w:space="0" w:shadow="0" w:frame="0"/>
              <w:left w:val="single" w:color="4f81bd" w:sz="8" w:space="0" w:shadow="0" w:frame="0"/>
              <w:bottom w:val="single" w:color="4f81bd" w:sz="8" w:space="0" w:shadow="0" w:frame="0"/>
              <w:right w:val="single" w:color="4f81bd" w:sz="8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84" w:firstLine="0"/>
              <w:jc w:val="right"/>
            </w:pPr>
            <w:r>
              <w:rPr>
                <w:b w:val="1"/>
                <w:bCs w:val="1"/>
                <w:color w:val="1f497d"/>
                <w:sz w:val="40"/>
                <w:szCs w:val="40"/>
                <w:u w:color="1f497d"/>
                <w:rtl w:val="0"/>
                <w:lang w:val="it-IT"/>
              </w:rPr>
              <w:t xml:space="preserve">Le linee guida | </w:t>
            </w:r>
            <w:r>
              <w:rPr>
                <w:b w:val="0"/>
                <w:bCs w:val="0"/>
                <w:color w:val="1f497d"/>
                <w:sz w:val="40"/>
                <w:szCs w:val="40"/>
                <w:u w:color="1f497d"/>
                <w:rtl w:val="0"/>
                <w:lang w:val="it-IT"/>
              </w:rPr>
              <w:t>La scheda di sintesi</w:t>
            </w:r>
          </w:p>
        </w:tc>
      </w:tr>
      <w:tr>
        <w:tblPrEx>
          <w:shd w:val="clear" w:color="auto" w:fill="ced7e7"/>
        </w:tblPrEx>
        <w:trPr>
          <w:trHeight w:val="15686" w:hRule="atLeast"/>
        </w:trPr>
        <w:tc>
          <w:tcPr>
            <w:tcW w:type="dxa" w:w="9612"/>
            <w:tcBorders>
              <w:top w:val="single" w:color="4f81bd" w:sz="8" w:space="0" w:shadow="0" w:frame="0"/>
              <w:left w:val="single" w:color="4f81bd" w:sz="8" w:space="0" w:shadow="0" w:frame="0"/>
              <w:bottom w:val="single" w:color="4f81bd" w:sz="8" w:space="0" w:shadow="0" w:frame="0"/>
              <w:right w:val="single" w:color="4f81bd" w:sz="8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84" w:firstLine="0"/>
              <w:rPr>
                <w:b w:val="1"/>
                <w:bCs w:val="1"/>
                <w:color w:val="1d191d"/>
                <w:u w:color="1d191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b w:val="1"/>
                <w:bCs w:val="1"/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Obiettivi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 xml:space="preserve">La valutazione della dirigenza scolastica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color w:val="1f497d"/>
                <w:u w:color="1f497d"/>
                <w:rtl w:val="0"/>
                <w:lang w:val="it-IT"/>
              </w:rPr>
              <w:t>finalizzata alla valorizzazione e al miglioramento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professionale dei Dirigenti, nella prospettiva del progressivo incremento della qualit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color w:val="1f497d"/>
                <w:u w:color="1f497d"/>
                <w:rtl w:val="0"/>
                <w:lang w:val="it-IT"/>
              </w:rPr>
              <w:t>del servizio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scolastico e in coerenza con il Sistema Nazionale di Valutazione.</w:t>
            </w:r>
          </w:p>
          <w:p>
            <w:pPr>
              <w:pStyle w:val="Normale"/>
              <w:spacing w:after="0" w:line="240" w:lineRule="auto"/>
              <w:ind w:left="142" w:firstLine="0"/>
              <w:rPr>
                <w:b w:val="1"/>
                <w:bCs w:val="1"/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Gli obiettivi di miglioramento della scuola attraverso il RAV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sono il punto di partenza per la valutazione dei Dirigenti scolastici. </w:t>
            </w:r>
            <w:r>
              <w:rPr>
                <w:color w:val="1f497d"/>
                <w:u w:color="1f497d"/>
                <w:lang w:val="it-IT"/>
              </w:rPr>
              <w:br w:type="textWrapping"/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I parametri: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competenze gestionali ed organizzative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finalizzate al raggiungimento dei risultati, correttezza, trasparenza, efficienza ed efficacia dell'azione dirigenziale, in relazione agli obiettivi assegnati nell' incarico triennale;</w:t>
            </w:r>
            <w:r>
              <w:rPr>
                <w:color w:val="1f497d"/>
                <w:u w:color="1f497d"/>
                <w:lang w:val="it-IT"/>
              </w:rPr>
              <w:br w:type="textWrapping"/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valorizzazione dell'impegno e dei meriti professionali del personale dell'istituto,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sotto il profilo individuale e negli ambiti collegiali;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apprezzamento dell'operato </w:t>
            </w:r>
            <w:r>
              <w:rPr>
                <w:color w:val="1f497d"/>
                <w:u w:color="1f497d"/>
                <w:rtl w:val="0"/>
                <w:lang w:val="it-IT"/>
              </w:rPr>
              <w:t>all'interno della comunit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color w:val="1f497d"/>
                <w:u w:color="1f497d"/>
                <w:rtl w:val="0"/>
                <w:lang w:val="it-IT"/>
              </w:rPr>
              <w:t>professionale e sociale</w:t>
            </w:r>
            <w:r>
              <w:rPr>
                <w:color w:val="1f497d"/>
                <w:u w:color="1f497d"/>
                <w:lang w:val="it-IT"/>
              </w:rPr>
              <w:br w:type="textWrapping"/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contributo al miglioramento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del successo formativo e scolastico degli studenti e dei processi organizzativi e didattici, nell'ambito dei sistemi di autovalutazione, valutazione e rendicontazione sociale;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direzione unitaria della scuola, promozione della partecipazione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e della collaborazione tra le diverse componenti della comunit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color w:val="1f497d"/>
                <w:u w:color="1f497d"/>
                <w:rtl w:val="0"/>
                <w:lang w:val="it-IT"/>
              </w:rPr>
              <w:t>scolastica, dei rapporti con il contesto sociale e nella rete di scuole.</w:t>
            </w:r>
          </w:p>
          <w:p>
            <w:pPr>
              <w:pStyle w:val="Normale"/>
              <w:spacing w:after="0" w:line="240" w:lineRule="auto"/>
              <w:rPr>
                <w:b w:val="1"/>
                <w:bCs w:val="1"/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b w:val="1"/>
                <w:bCs w:val="1"/>
                <w:color w:val="1f497d"/>
                <w:u w:color="1f497d"/>
                <w:rtl w:val="0"/>
              </w:rPr>
            </w:pPr>
            <w:r>
              <w:rPr>
                <w:rFonts w:ascii="Garamond" w:hAnsi="Garamond" w:hint="default"/>
                <w:b w:val="1"/>
                <w:bCs w:val="1"/>
                <w:color w:val="1f497d"/>
                <w:u w:color="1f497d"/>
                <w:rtl w:val="0"/>
                <w:lang w:val="it-IT"/>
              </w:rPr>
              <w:t>«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Le diverse aree corrispondenti alle dimensioni professionali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si legge nelle linee guida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hanno un peso diverso nella valutazione: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Direzione unitaria, promozione della partecipazione (</w:t>
            </w:r>
            <w:r>
              <w:rPr>
                <w:color w:val="1f497d"/>
                <w:u w:color="1f497d"/>
                <w:rtl w:val="0"/>
                <w:lang w:val="it-IT"/>
              </w:rPr>
              <w:t>…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) competenze gestionali e organizzative finalizzate al raggiungimento dei risultati </w:t>
            </w:r>
            <w:r>
              <w:rPr>
                <w:rFonts w:ascii="Wingdings" w:hAnsi="Wingdings" w:hint="default"/>
                <w:color w:val="1f497d"/>
                <w:u w:color="1f497d"/>
                <w:rtl w:val="0"/>
                <w:lang w:val="it-IT"/>
              </w:rPr>
              <w:sym w:font="Wingdings" w:char="F0E0"/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color w:val="1f497d"/>
                <w:sz w:val="24"/>
                <w:szCs w:val="24"/>
                <w:u w:color="1f497d"/>
                <w:rtl w:val="0"/>
                <w:lang w:val="it-IT"/>
              </w:rPr>
              <w:t>60%</w:t>
            </w:r>
          </w:p>
          <w:p>
            <w:pPr>
              <w:pStyle w:val="Normale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color w:val="1f497d"/>
                <w:sz w:val="24"/>
                <w:szCs w:val="24"/>
                <w:u w:color="1f497d"/>
                <w:rtl w:val="0"/>
                <w:lang w:val="it-IT"/>
              </w:rPr>
            </w:pP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>Valorizzazione delle risorse professionali, dell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>’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 xml:space="preserve">impegno e dei meriti professionali </w:t>
            </w:r>
            <w:r>
              <w:rPr>
                <w:rFonts w:ascii="Wingdings" w:hAnsi="Wingdings" w:hint="default"/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sym w:font="Wingdings" w:char="F0E0"/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color w:val="1f497d"/>
                <w:sz w:val="24"/>
                <w:szCs w:val="24"/>
                <w:u w:color="1f497d"/>
                <w:rtl w:val="0"/>
                <w:lang w:val="it-IT"/>
              </w:rPr>
              <w:t>30%</w:t>
            </w:r>
          </w:p>
          <w:p>
            <w:pPr>
              <w:pStyle w:val="Normale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color w:val="1f497d"/>
                <w:sz w:val="24"/>
                <w:szCs w:val="24"/>
                <w:u w:color="1f497d"/>
                <w:rtl w:val="0"/>
                <w:lang w:val="it-IT"/>
              </w:rPr>
            </w:pP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>Apprezzamento dell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>’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>operato all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>’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>interno della comunit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 xml:space="preserve">professionale e sociale </w:t>
            </w:r>
            <w:r>
              <w:rPr>
                <w:rFonts w:ascii="Wingdings" w:hAnsi="Wingdings" w:hint="default"/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sym w:font="Wingdings" w:char="F0E0"/>
            </w:r>
            <w:r>
              <w:rPr>
                <w:b w:val="0"/>
                <w:bCs w:val="0"/>
                <w:color w:val="1f497d"/>
                <w:sz w:val="22"/>
                <w:szCs w:val="22"/>
                <w:u w:color="1f497d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color w:val="1f497d"/>
                <w:sz w:val="24"/>
                <w:szCs w:val="24"/>
                <w:u w:color="1f497d"/>
                <w:rtl w:val="0"/>
                <w:lang w:val="it-IT"/>
              </w:rPr>
              <w:t>10%</w:t>
            </w:r>
          </w:p>
          <w:p>
            <w:pPr>
              <w:pStyle w:val="Normale"/>
              <w:spacing w:after="0" w:line="240" w:lineRule="auto"/>
              <w:ind w:left="142" w:firstLine="0"/>
              <w:rPr>
                <w:b w:val="1"/>
                <w:bCs w:val="1"/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spacing w:after="0" w:line="240" w:lineRule="auto"/>
              <w:ind w:left="142" w:firstLine="0"/>
              <w:rPr>
                <w:b w:val="1"/>
                <w:bCs w:val="1"/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b w:val="1"/>
                <w:bCs w:val="1"/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Il procedimento di valutazione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i w:val="1"/>
                <w:iCs w:val="1"/>
                <w:color w:val="1f497d"/>
                <w:u w:color="1f497d"/>
                <w:rtl w:val="0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La valutazione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coerente con l'incarico triennale e con il profilo professionale ed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connessa alla retribuzione di risultato. </w:t>
            </w:r>
          </w:p>
          <w:p>
            <w:pPr>
              <w:pStyle w:val="Normale"/>
              <w:spacing w:after="0" w:line="240" w:lineRule="auto"/>
              <w:ind w:left="142" w:firstLine="0"/>
              <w:rPr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«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Il procedimento annuale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–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si legge nelle linee guida -  esemplificato in relazione all'anno scolastico 2016/17,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color w:val="1f497d"/>
                <w:u w:color="1f497d"/>
                <w:rtl w:val="0"/>
                <w:lang w:val="it-IT"/>
              </w:rPr>
              <w:t>riassunto nei seguenti passaggi:</w:t>
            </w:r>
          </w:p>
          <w:p>
            <w:pPr>
              <w:pStyle w:val="Normale"/>
              <w:spacing w:after="0" w:line="240" w:lineRule="auto"/>
              <w:rPr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b w:val="1"/>
                <w:bCs w:val="1"/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&gt;&gt;&gt; Entro settembre 2016  | Definizione degli obiettivi da parte del Direttore dell'USR. 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Gli obiettivi vengono inseriti nell'incarico del Dirigente e permangono per il triennio di vigenza; possono essere aggiornati annualmente, ma solo per situazioni particolari e previo accordo con l'interessato.</w:t>
            </w:r>
          </w:p>
          <w:p>
            <w:pPr>
              <w:pStyle w:val="Normale"/>
              <w:spacing w:after="0" w:line="240" w:lineRule="auto"/>
              <w:ind w:left="142" w:firstLine="0"/>
              <w:rPr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&gt;&gt;&gt; Entro dicembre 2016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|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 Formulazione della proposta di "Piano regionale di valutazione"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da parte del Coordinatore regionale del servizio ispettivo e adozione da parte del Direttore. </w:t>
            </w:r>
          </w:p>
          <w:p>
            <w:pPr>
              <w:pStyle w:val="Normale"/>
              <w:spacing w:after="0" w:line="240" w:lineRule="auto"/>
              <w:ind w:left="142" w:firstLine="0"/>
              <w:rPr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&gt;&gt;&gt; Gennaio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maggio 2017 | Autovalutazione annuale da parte del Dirigente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attraverso un format comune sulle azioni realizzate e i risultati ottenuti con riferimento a dati ed evidenze a sistema ed eventuali richieste di integrazioni da parte del Nucleo (strumento fondamentale e punto di riferimento per l'autovalutazione e la documentazione delle azioni del 2017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 xml:space="preserve">Dirigente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color w:val="1f497d"/>
                <w:u w:color="1f497d"/>
                <w:rtl w:val="0"/>
                <w:lang w:val="it-IT"/>
              </w:rPr>
              <w:t>il Portfolio, compilabile in progress fino a maggio).</w:t>
            </w:r>
          </w:p>
          <w:p>
            <w:pPr>
              <w:pStyle w:val="Normale"/>
              <w:spacing w:after="0" w:line="240" w:lineRule="auto"/>
              <w:ind w:left="142" w:firstLine="0"/>
              <w:rPr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&gt;&gt;&gt; Entro agosto 2017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|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Valutazione di prima istanza da parte del Nucleo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</w:t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ed eventuale visita presso l'Istituzione scolastica sede di servizio del Dirigente </w:t>
            </w:r>
            <w:r>
              <w:rPr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(ogni Dirigente sar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color w:val="1f497d"/>
                <w:u w:color="1f497d"/>
                <w:rtl w:val="0"/>
                <w:lang w:val="it-IT"/>
              </w:rPr>
              <w:t>comunque oggetto di una visita all</w:t>
            </w:r>
            <w:r>
              <w:rPr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interno del triennio di incarico). </w:t>
            </w:r>
            <w:r>
              <w:rPr>
                <w:color w:val="1f497d"/>
                <w:u w:color="1f497d"/>
                <w:lang w:val="it-IT"/>
              </w:rPr>
              <w:br w:type="textWrapping"/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Valutazione finale da parte del Direttore</w:t>
            </w:r>
            <w:r>
              <w:rPr>
                <w:color w:val="1f497d"/>
                <w:u w:color="1f497d"/>
                <w:rtl w:val="0"/>
                <w:lang w:val="it-IT"/>
              </w:rPr>
              <w:t>, con riferimento alla valutazione di prima istanza del Nucleo. Il Direttore pu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ò </w:t>
            </w:r>
            <w:r>
              <w:rPr>
                <w:color w:val="1f497d"/>
                <w:u w:color="1f497d"/>
                <w:rtl w:val="0"/>
                <w:lang w:val="it-IT"/>
              </w:rPr>
              <w:t>discostarsi dalla valutazione del Nucleo previa motivazione scritta.</w:t>
            </w:r>
          </w:p>
          <w:p>
            <w:pPr>
              <w:pStyle w:val="Normale"/>
              <w:spacing w:after="0" w:line="240" w:lineRule="auto"/>
              <w:rPr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&gt;&gt;&gt; entro dicembre 2017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 |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Restituzione dei riscontri della valutazione da parte del Direttore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obbligatoria in caso di </w:t>
            </w: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"mancato raggiungimento degli obiettivi", </w:t>
            </w:r>
            <w:r>
              <w:rPr>
                <w:color w:val="1f497d"/>
                <w:u w:color="1f497d"/>
                <w:rtl w:val="0"/>
                <w:lang w:val="it-IT"/>
              </w:rPr>
              <w:t>a richiesta dell'interessato in caso di valutazione positiva. Il Direttore comunicher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color w:val="1f497d"/>
                <w:u w:color="1f497d"/>
                <w:rtl w:val="0"/>
                <w:lang w:val="it-IT"/>
              </w:rPr>
              <w:t>comunque i dati generali sui risvolti della valutazione annuale a tutti i Dirigenti in una dimensione di orientamento e sviluppo della professionalit</w:t>
            </w:r>
            <w:r>
              <w:rPr>
                <w:color w:val="1f497d"/>
                <w:u w:color="1f497d"/>
                <w:rtl w:val="0"/>
                <w:lang w:val="it-IT"/>
              </w:rPr>
              <w:t>à</w:t>
            </w:r>
            <w:r>
              <w:rPr>
                <w:color w:val="1f497d"/>
                <w:u w:color="1f497d"/>
                <w:rtl w:val="0"/>
                <w:lang w:val="it-IT"/>
              </w:rPr>
              <w:t>.</w:t>
            </w:r>
          </w:p>
          <w:p>
            <w:pPr>
              <w:pStyle w:val="Normale"/>
              <w:spacing w:after="0" w:line="240" w:lineRule="auto"/>
              <w:rPr>
                <w:i w:val="1"/>
                <w:iCs w:val="1"/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b w:val="1"/>
                <w:bCs w:val="1"/>
                <w:color w:val="1f497d"/>
                <w:u w:val="single" w:color="1f497d"/>
                <w:rtl w:val="0"/>
              </w:rPr>
            </w:pPr>
            <w:r>
              <w:rPr>
                <w:b w:val="1"/>
                <w:bCs w:val="1"/>
                <w:color w:val="1f497d"/>
                <w:u w:val="single" w:color="1f497d"/>
                <w:rtl w:val="0"/>
                <w:lang w:val="it-IT"/>
              </w:rPr>
              <w:t>La procedura in sintesi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ll Direttore  regionale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 xml:space="preserve"> Avvia il procedimento assegnando gli obiettivi ad ogni Dirigente.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Costituisce i Nuclei di valutazione e adozione del Piano regionale di valutazione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adotta annualmente il Piano regionale di valutazione con  obiettivi riferiti contesto territoriale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>rende pubblico il Piano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color w:val="1f497d"/>
                <w:u w:color="1f497d"/>
                <w:rtl w:val="0"/>
                <w:lang w:val="it-IT"/>
              </w:rPr>
              <w:t xml:space="preserve">adotta annualmente i provvedimenti di valutazione dei Dirigenti evidenziando il livello di raggiungimento degli obiettivi attraverso una delle seguenti espressioni: 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"pieno raggiungimento",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"avanzato raggiungimento", 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 xml:space="preserve">"buon raggiungimento" </w:t>
            </w:r>
            <w:r>
              <w:rPr>
                <w:color w:val="1f497d"/>
                <w:u w:color="1f497d"/>
                <w:rtl w:val="0"/>
                <w:lang w:val="it-IT"/>
              </w:rPr>
              <w:t>ovvero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i w:val="1"/>
                <w:iCs w:val="1"/>
                <w:color w:val="1f497d"/>
                <w:u w:color="1f497d"/>
                <w:rtl w:val="0"/>
                <w:lang w:val="it-IT"/>
              </w:rPr>
              <w:t>"mancato raggiungimento degli obiettivi"</w:t>
            </w:r>
          </w:p>
          <w:p>
            <w:pPr>
              <w:pStyle w:val="Normale"/>
              <w:spacing w:after="0" w:line="240" w:lineRule="auto"/>
              <w:ind w:left="4968" w:firstLine="0"/>
              <w:rPr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b w:val="1"/>
                <w:bCs w:val="1"/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14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Il Portfolio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lo strumento di riferimento per  l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autovalutazione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E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’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strutturato in base a una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parte pubblica, </w:t>
            </w:r>
            <w:r>
              <w:rPr>
                <w:color w:val="1f497d"/>
                <w:u w:color="1f497d"/>
                <w:rtl w:val="0"/>
                <w:lang w:val="it-IT"/>
              </w:rPr>
              <w:t>con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il curricolo professionale e le azioni specifiche del Dirigente finalizzate al miglioramento; nella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parte riservata </w:t>
            </w:r>
            <w:r>
              <w:rPr>
                <w:color w:val="1f497d"/>
                <w:u w:color="1f497d"/>
                <w:rtl w:val="0"/>
                <w:lang w:val="it-IT"/>
              </w:rPr>
              <w:t>il Dirigente trova strumenti per l'analisi e lo sviluppo della propria professionalit</w:t>
            </w:r>
            <w:r>
              <w:rPr>
                <w:color w:val="1f497d"/>
                <w:u w:color="1f497d"/>
                <w:rtl w:val="0"/>
                <w:lang w:val="it-IT"/>
              </w:rPr>
              <w:t>à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. </w:t>
            </w:r>
            <w:r>
              <w:rPr>
                <w:color w:val="1f497d"/>
                <w:u w:color="1f497d"/>
              </w:rPr>
            </w:r>
          </w:p>
        </w:tc>
      </w:tr>
    </w:tbl>
    <w:p>
      <w:pPr>
        <w:pStyle w:val="Normale"/>
        <w:spacing w:after="0" w:line="240" w:lineRule="auto"/>
        <w:rPr>
          <w:color w:val="1f497d"/>
          <w:sz w:val="20"/>
          <w:szCs w:val="20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p>
      <w:pPr>
        <w:pStyle w:val="Paragrafo elenco"/>
        <w:spacing w:before="100" w:after="100" w:line="20" w:lineRule="atLeast"/>
        <w:rPr>
          <w:color w:val="1f497d"/>
          <w:u w:color="1f497d"/>
        </w:rPr>
      </w:pP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3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0031"/>
            <w:tcBorders>
              <w:top w:val="single" w:color="4f81bd" w:sz="8" w:space="0" w:shadow="0" w:frame="0"/>
              <w:left w:val="single" w:color="4f81bd" w:sz="8" w:space="0" w:shadow="0" w:frame="0"/>
              <w:bottom w:val="single" w:color="4f81bd" w:sz="8" w:space="0" w:shadow="0" w:frame="0"/>
              <w:right w:val="single" w:color="4f81bd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00" w:after="100"/>
              <w:jc w:val="right"/>
            </w:pPr>
            <w:r>
              <w:rPr>
                <w:b w:val="0"/>
                <w:bCs w:val="0"/>
                <w:color w:val="ffffff"/>
                <w:sz w:val="40"/>
                <w:szCs w:val="40"/>
                <w:u w:color="ffffff"/>
                <w:rtl w:val="0"/>
                <w:lang w:val="it-IT"/>
              </w:rPr>
              <w:t xml:space="preserve">La valutazione </w:t>
            </w:r>
            <w:r>
              <w:rPr>
                <w:b w:val="1"/>
                <w:bCs w:val="1"/>
                <w:color w:val="ffffff"/>
                <w:sz w:val="40"/>
                <w:szCs w:val="40"/>
                <w:u w:color="ffffff"/>
                <w:rtl w:val="0"/>
                <w:lang w:val="it-IT"/>
              </w:rPr>
              <w:t xml:space="preserve"> |</w:t>
            </w:r>
            <w:r>
              <w:rPr>
                <w:b w:val="0"/>
                <w:bCs w:val="0"/>
                <w:color w:val="ffffff"/>
                <w:sz w:val="40"/>
                <w:szCs w:val="40"/>
                <w:u w:color="ffffff"/>
                <w:rtl w:val="0"/>
                <w:lang w:val="it-IT"/>
              </w:rPr>
              <w:t xml:space="preserve">Le norme di riferimento </w:t>
            </w:r>
            <w:r>
              <w:rPr>
                <w:b w:val="0"/>
                <w:bCs w:val="0"/>
                <w:color w:val="ffffff"/>
                <w:sz w:val="36"/>
                <w:szCs w:val="36"/>
                <w:u w:color="ffffff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color w:val="ffffff"/>
                <w:sz w:val="36"/>
                <w:szCs w:val="36"/>
                <w:u w:color="ffffff"/>
                <w:rtl w:val="0"/>
                <w:lang w:val="it-IT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13624" w:hRule="atLeast"/>
        </w:trPr>
        <w:tc>
          <w:tcPr>
            <w:tcW w:type="dxa" w:w="10031"/>
            <w:tcBorders>
              <w:top w:val="single" w:color="4f81bd" w:sz="8" w:space="0" w:shadow="0" w:frame="0"/>
              <w:left w:val="single" w:color="4f81bd" w:sz="8" w:space="0" w:shadow="0" w:frame="0"/>
              <w:bottom w:val="single" w:color="4f81bd" w:sz="8" w:space="0" w:shadow="0" w:frame="0"/>
              <w:right w:val="single" w:color="4f81b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b w:val="1"/>
                <w:bCs w:val="1"/>
                <w:color w:val="1f497d"/>
                <w:sz w:val="20"/>
                <w:szCs w:val="20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2001  &gt;&gt;&gt; Decreto legislativo  n.165  | marzo 2001 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Segna il nuovo profilo della dirigenza pubblica, con forte impatto sulla dirigenza scolastica.</w:t>
            </w:r>
          </w:p>
          <w:p>
            <w:pPr>
              <w:pStyle w:val="Normale"/>
              <w:spacing w:after="0" w:line="240" w:lineRule="auto"/>
              <w:rPr>
                <w:b w:val="1"/>
                <w:bCs w:val="1"/>
                <w:color w:val="1f497d"/>
                <w:u w:color="1f497d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2009 &gt;&gt;&gt;  Decreto legislativo n. 150  | ottobre 2009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Attuativo del decreto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‘ </w:t>
            </w:r>
            <w:r>
              <w:rPr>
                <w:color w:val="1f497d"/>
                <w:u w:color="1f497d"/>
                <w:rtl w:val="0"/>
                <w:lang w:val="it-IT"/>
              </w:rPr>
              <w:t>Brunetta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’ </w:t>
            </w:r>
            <w:r>
              <w:rPr>
                <w:color w:val="1f497d"/>
                <w:u w:color="1f497d"/>
                <w:rtl w:val="0"/>
                <w:lang w:val="it-IT"/>
              </w:rPr>
              <w:t>stabilisce criteri e modalit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 </w:t>
            </w:r>
            <w:r>
              <w:rPr>
                <w:color w:val="1f497d"/>
                <w:u w:color="1f497d"/>
                <w:rtl w:val="0"/>
                <w:lang w:val="it-IT"/>
              </w:rPr>
              <w:t>per la misurazione, valutazione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 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e trasparenza della performance dei dipendenti  delle pubbliche amministrazioni </w:t>
            </w:r>
          </w:p>
          <w:p>
            <w:pPr>
              <w:pStyle w:val="Normale"/>
              <w:spacing w:after="0" w:line="240" w:lineRule="auto"/>
              <w:rPr>
                <w:color w:val="1f497d"/>
                <w:u w:color="1f497d"/>
                <w:lang w:val="it-IT"/>
              </w:rPr>
            </w:pPr>
          </w:p>
          <w:p>
            <w:pPr>
              <w:pStyle w:val="Paragrafo elenco"/>
              <w:bidi w:val="0"/>
              <w:spacing w:before="100" w:after="100" w:line="20" w:lineRule="atLeast"/>
              <w:ind w:left="0" w:right="0" w:firstLine="0"/>
              <w:jc w:val="left"/>
              <w:rPr>
                <w:b w:val="1"/>
                <w:bCs w:val="1"/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2013 &gt;&gt;&gt; DPR  n. 80 | marzo 2013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b w:val="0"/>
                <w:bCs w:val="0"/>
                <w:color w:val="1f497d"/>
                <w:u w:color="1f497d"/>
                <w:rtl w:val="0"/>
                <w:lang w:val="it-IT"/>
              </w:rPr>
              <w:t>Istituisce il sistema nazionale di valutazione con una struttura  tripartita a cui partecipano INVALSI,  INDIRE  e corpo ispettivo per realizzare le finalit</w:t>
            </w:r>
            <w:r>
              <w:rPr>
                <w:b w:val="0"/>
                <w:bCs w:val="0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color w:val="1f497d"/>
                <w:u w:color="1f497d"/>
                <w:rtl w:val="0"/>
                <w:lang w:val="it-IT"/>
              </w:rPr>
              <w:t xml:space="preserve">della direttiva triennale che il ministro </w:t>
            </w:r>
            <w:r>
              <w:rPr>
                <w:b w:val="0"/>
                <w:bCs w:val="0"/>
                <w:color w:val="1f497d"/>
                <w:u w:color="1f497d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color w:val="1f497d"/>
                <w:u w:color="1f497d"/>
                <w:rtl w:val="0"/>
                <w:lang w:val="it-IT"/>
              </w:rPr>
              <w:t xml:space="preserve">tenuto ad emanare sulla valutazione di sistema </w:t>
            </w: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su tre direttrici:</w:t>
            </w:r>
          </w:p>
          <w:p>
            <w:pPr>
              <w:pStyle w:val="Paragrafo elenco"/>
              <w:numPr>
                <w:ilvl w:val="0"/>
                <w:numId w:val="7"/>
              </w:numPr>
              <w:bidi w:val="0"/>
              <w:spacing w:before="100" w:after="100" w:line="20" w:lineRule="atLeast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La valutazione dei dirigenti scolastici, </w:t>
            </w:r>
            <w:r>
              <w:rPr>
                <w:color w:val="1f497d"/>
                <w:u w:color="1f497d"/>
                <w:rtl w:val="0"/>
                <w:lang w:val="it-IT"/>
              </w:rPr>
              <w:t>con il supporto ai direttori generali degli Uffici scolastici regionali. Le norme vigenti infatti fissano l'inquadramento dei dirigenti scolastici in ruoli di dimensione regionale e rispondono, in ordine ai risultati valutati tenuto conto della specificit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color w:val="1f497d"/>
                <w:u w:color="1f497d"/>
                <w:rtl w:val="0"/>
                <w:lang w:val="it-IT"/>
              </w:rPr>
              <w:t>delle funzioni e sulla base delle verifiche effettuate da un nucleo di valutazione istituito presso l'amministrazione scolastica regionale. Tale nucleo e'  presieduto da un dirigente e composto da esperti anche non appartenenti all'amministrazione stessa.</w:t>
            </w:r>
          </w:p>
          <w:p>
            <w:pPr>
              <w:pStyle w:val="Paragrafo elenco"/>
              <w:numPr>
                <w:ilvl w:val="0"/>
                <w:numId w:val="8"/>
              </w:numPr>
              <w:bidi w:val="0"/>
              <w:spacing w:before="100" w:after="100" w:line="20" w:lineRule="atLeast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Rilevazioni periodiche nazionali sugli apprendimenti  e sulle competenze degli studenti, </w:t>
            </w:r>
            <w:r>
              <w:rPr>
                <w:color w:val="1f497d"/>
                <w:u w:color="1f497d"/>
                <w:rtl w:val="0"/>
                <w:lang w:val="it-IT"/>
              </w:rPr>
              <w:t>condotte su base censuaria nelle classi seconda e quinta della scuola primaria, prima e terza della scuola secondaria di primo grado, seconda e ultima della scuola secondaria superiore.</w:t>
            </w:r>
          </w:p>
          <w:p>
            <w:pPr>
              <w:pStyle w:val="Paragrafo elenco"/>
              <w:numPr>
                <w:ilvl w:val="0"/>
                <w:numId w:val="8"/>
              </w:numPr>
              <w:bidi w:val="0"/>
              <w:spacing w:before="100" w:after="100" w:line="20" w:lineRule="atLeast"/>
              <w:ind w:right="0"/>
              <w:jc w:val="left"/>
              <w:rPr>
                <w:color w:val="1f497d"/>
                <w:u w:color="1f497d"/>
                <w:rtl w:val="0"/>
                <w:lang w:val="it-IT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La valutazione delle istituzione scolastiche </w:t>
            </w:r>
            <w:r>
              <w:rPr>
                <w:color w:val="1f497d"/>
                <w:u w:color="1f497d"/>
                <w:rtl w:val="0"/>
                <w:lang w:val="it-IT"/>
              </w:rPr>
              <w:t>e formative strutturata su un livello di autovalutazione ed uno di valutazione esterna,  con la previsione di azioni di miglioramento  e di rendicontazione sociale.</w:t>
            </w:r>
          </w:p>
          <w:p>
            <w:pPr>
              <w:pStyle w:val="Normale"/>
              <w:spacing w:after="0" w:line="240" w:lineRule="auto"/>
              <w:rPr>
                <w:b w:val="1"/>
                <w:bCs w:val="1"/>
                <w:color w:val="1f497d"/>
                <w:u w:color="1f497d"/>
                <w:lang w:val="it-IT"/>
              </w:rPr>
            </w:pPr>
          </w:p>
          <w:p>
            <w:pPr>
              <w:pStyle w:val="Paragrafo elenco"/>
              <w:bidi w:val="0"/>
              <w:spacing w:before="100" w:after="100" w:line="20" w:lineRule="atLeast"/>
              <w:ind w:left="0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2015 &gt;&gt;&gt; La legge 107 | luglio 2015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Rilancia la valutazione dei dirigenti ponendola in relazione con i contributo che il dirigente stesso fornisce al perseguimento dei risultati per il miglioramento del servizio scolastico previsti nel rapporto di autovalutazione. </w:t>
            </w:r>
            <w:r>
              <w:rPr>
                <w:color w:val="1f497d"/>
                <w:u w:color="1f497d"/>
                <w:lang w:val="it-IT"/>
              </w:rPr>
              <w:br w:type="textWrapping"/>
            </w:r>
          </w:p>
          <w:p>
            <w:pPr>
              <w:pStyle w:val="Paragrafo elenco"/>
              <w:spacing w:before="100" w:after="100" w:line="20" w:lineRule="atLeast"/>
              <w:ind w:left="0" w:firstLine="0"/>
              <w:jc w:val="center"/>
              <w:rPr>
                <w:b w:val="1"/>
                <w:bCs w:val="1"/>
                <w:sz w:val="28"/>
                <w:szCs w:val="28"/>
                <w:lang w:val="it-IT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 dirigenti sono valutati in base a:</w:t>
            </w:r>
          </w:p>
          <w:p>
            <w:pPr>
              <w:pStyle w:val="Paragrafo elenco"/>
              <w:numPr>
                <w:ilvl w:val="0"/>
                <w:numId w:val="9"/>
              </w:numPr>
              <w:spacing w:before="100" w:after="100" w:line="20" w:lineRule="atLeast"/>
              <w:rPr>
                <w:b w:val="1"/>
                <w:bCs w:val="1"/>
                <w:lang w:val="it-IT"/>
              </w:rPr>
            </w:pPr>
            <w:r>
              <w:rPr>
                <w:b w:val="1"/>
                <w:bCs w:val="1"/>
                <w:rtl w:val="0"/>
                <w:lang w:val="it-IT"/>
              </w:rPr>
              <w:t>competenze gestionali  ed organizzative</w:t>
            </w:r>
          </w:p>
          <w:p>
            <w:pPr>
              <w:pStyle w:val="Paragrafo elenco"/>
              <w:numPr>
                <w:ilvl w:val="0"/>
                <w:numId w:val="9"/>
              </w:numPr>
              <w:spacing w:before="100" w:after="100" w:line="20" w:lineRule="atLeast"/>
              <w:rPr>
                <w:b w:val="1"/>
                <w:bCs w:val="1"/>
                <w:lang w:val="it-IT"/>
              </w:rPr>
            </w:pPr>
            <w:r>
              <w:rPr>
                <w:b w:val="1"/>
                <w:bCs w:val="1"/>
                <w:rtl w:val="0"/>
                <w:lang w:val="it-IT"/>
              </w:rPr>
              <w:t>valorizzazione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impegno e dei meriti professionali del personale</w:t>
            </w:r>
          </w:p>
          <w:p>
            <w:pPr>
              <w:pStyle w:val="Paragrafo elenco"/>
              <w:numPr>
                <w:ilvl w:val="0"/>
                <w:numId w:val="9"/>
              </w:numPr>
              <w:spacing w:before="100" w:after="100" w:line="20" w:lineRule="atLeast"/>
              <w:rPr>
                <w:b w:val="1"/>
                <w:bCs w:val="1"/>
                <w:lang w:val="it-IT"/>
              </w:rPr>
            </w:pPr>
            <w:r>
              <w:rPr>
                <w:b w:val="1"/>
                <w:bCs w:val="1"/>
                <w:rtl w:val="0"/>
                <w:lang w:val="it-IT"/>
              </w:rPr>
              <w:t>apprezzamento all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interno della comunit</w:t>
            </w:r>
            <w:r>
              <w:rPr>
                <w:b w:val="1"/>
                <w:bCs w:val="1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rtl w:val="0"/>
                <w:lang w:val="it-IT"/>
              </w:rPr>
              <w:t xml:space="preserve">professionale e sociale </w:t>
            </w:r>
          </w:p>
          <w:p>
            <w:pPr>
              <w:pStyle w:val="Paragrafo elenco"/>
              <w:numPr>
                <w:ilvl w:val="0"/>
                <w:numId w:val="9"/>
              </w:numPr>
              <w:spacing w:before="100" w:after="100" w:line="20" w:lineRule="atLeast"/>
              <w:rPr>
                <w:b w:val="1"/>
                <w:bCs w:val="1"/>
                <w:lang w:val="it-IT"/>
              </w:rPr>
            </w:pPr>
            <w:r>
              <w:rPr>
                <w:b w:val="1"/>
                <w:bCs w:val="1"/>
                <w:rtl w:val="0"/>
                <w:lang w:val="it-IT"/>
              </w:rPr>
              <w:t>contributo al miglioramento del successo formativo degli studenti</w:t>
            </w:r>
          </w:p>
          <w:p>
            <w:pPr>
              <w:pStyle w:val="Paragrafo elenco"/>
              <w:numPr>
                <w:ilvl w:val="0"/>
                <w:numId w:val="9"/>
              </w:numPr>
              <w:spacing w:before="100" w:after="100" w:line="20" w:lineRule="atLeast"/>
              <w:rPr>
                <w:b w:val="1"/>
                <w:bCs w:val="1"/>
                <w:lang w:val="it-IT"/>
              </w:rPr>
            </w:pPr>
            <w:r>
              <w:rPr>
                <w:b w:val="1"/>
                <w:bCs w:val="1"/>
                <w:rtl w:val="0"/>
                <w:lang w:val="it-IT"/>
              </w:rPr>
              <w:t xml:space="preserve">direzione unitaria della scuola </w:t>
            </w: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color w:val="1f497d"/>
                <w:u w:color="1f497d"/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2016 &gt;&gt;&gt; Presentazione direttiva nazionale sulla valutazione dei dirigenti scolastici | giugno 2016 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color w:val="1f497d"/>
                <w:u w:color="1f497d"/>
                <w:rtl w:val="0"/>
                <w:lang w:val="it-IT"/>
              </w:rPr>
              <w:t>La Uil esprime ufficialmente le proprie posizioni esplicitando criticit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color w:val="1f497d"/>
                <w:u w:color="1f497d"/>
                <w:rtl w:val="0"/>
                <w:lang w:val="it-IT"/>
              </w:rPr>
              <w:t xml:space="preserve">ed incongruenze rispetto al principio generale.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1f497d"/>
                <w:u w:color="1f497d"/>
                <w:rtl w:val="0"/>
                <w:lang w:val="it-IT"/>
              </w:rPr>
              <w:t>2016 &gt;&gt;&gt; Pubblicazione delle linee guida | settembre 2016</w:t>
            </w:r>
            <w:r>
              <w:rPr>
                <w:b w:val="1"/>
                <w:bCs w:val="1"/>
                <w:color w:val="1f497d"/>
                <w:u w:color="1f497d"/>
                <w:lang w:val="it-IT"/>
              </w:rPr>
              <w:br w:type="textWrapping"/>
            </w:r>
            <w:r>
              <w:rPr>
                <w:b w:val="0"/>
                <w:bCs w:val="0"/>
                <w:color w:val="1f497d"/>
                <w:u w:color="1f497d"/>
                <w:rtl w:val="0"/>
                <w:lang w:val="it-IT"/>
              </w:rPr>
              <w:t xml:space="preserve">Dopo le proteste della Uil Scuola contro la fuga in avanti degli Uffici Scolastici Regionali, che stavano adottando provvedimenti estemporanei e difformi tra loro [http://www.uil.it/uilscuola/node/4716] </w:t>
            </w:r>
            <w:r>
              <w:rPr>
                <w:b w:val="0"/>
                <w:bCs w:val="0"/>
                <w:color w:val="1f497d"/>
                <w:u w:color="1f497d"/>
                <w:lang w:val="it-IT"/>
              </w:rPr>
              <w:br w:type="textWrapping"/>
            </w:r>
            <w:r>
              <w:rPr>
                <w:b w:val="0"/>
                <w:bCs w:val="0"/>
                <w:color w:val="1f497d"/>
                <w:u w:color="1f497d"/>
                <w:rtl w:val="0"/>
                <w:lang w:val="it-IT"/>
              </w:rPr>
              <w:t>il Miur ha pubblicato, il 28 settembre, le linee guida.</w:t>
            </w:r>
          </w:p>
        </w:tc>
      </w:tr>
    </w:tbl>
    <w:p>
      <w:pPr>
        <w:pStyle w:val="Paragrafo elenco"/>
        <w:widowControl w:val="0"/>
        <w:spacing w:before="100" w:after="100" w:line="240" w:lineRule="auto"/>
        <w:ind w:left="0" w:firstLine="0"/>
      </w:pPr>
      <w:r>
        <w:rPr>
          <w:color w:val="1f497d"/>
          <w:u w:color="1f497d"/>
        </w:rPr>
      </w:r>
    </w:p>
    <w:sectPr>
      <w:headerReference w:type="default" r:id="rId4"/>
      <w:footerReference w:type="default" r:id="rId5"/>
      <w:pgSz w:w="11900" w:h="16840" w:orient="portrait"/>
      <w:pgMar w:top="426" w:right="1134" w:bottom="568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  <w:font w:name="Garamond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64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0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6" w:hanging="35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4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2" w:hanging="32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➲"/>
      <w:lvlJc w:val="left"/>
      <w:pPr>
        <w:ind w:left="70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7" w:hanging="4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5" w:hanging="4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3" w:hanging="3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1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9" w:hanging="3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7" w:hanging="3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5" w:hanging="3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3" w:hanging="3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−"/>
      <w:lvlJc w:val="left"/>
      <w:pPr>
        <w:ind w:left="709" w:hanging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7" w:hanging="1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5" w:hanging="1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3" w:hanging="17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1" w:hanging="1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9" w:hanging="14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7" w:hanging="13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5" w:hanging="12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6373" w:hanging="11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8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570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278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986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694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402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511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818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526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−"/>
      <w:lvlJc w:val="left"/>
      <w:pPr>
        <w:tabs>
          <w:tab w:val="num" w:pos="4956"/>
        </w:tabs>
        <w:ind w:left="49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080"/>
        </w:tabs>
        <w:ind w:left="7092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7788"/>
        </w:tabs>
        <w:ind w:left="7800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8496"/>
        </w:tabs>
        <w:ind w:left="8508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9204"/>
        </w:tabs>
        <w:ind w:left="921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9912"/>
        </w:tabs>
        <w:ind w:left="9924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10620"/>
        </w:tabs>
        <w:ind w:left="10632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➲"/>
      <w:lvlJc w:val="left"/>
      <w:pPr>
        <w:tabs>
          <w:tab w:val="num" w:pos="708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➲"/>
      <w:lvlJc w:val="left"/>
      <w:pPr>
        <w:tabs>
          <w:tab w:val="num" w:pos="708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➲"/>
      <w:lvlJc w:val="left"/>
      <w:pPr>
        <w:tabs>
          <w:tab w:val="num" w:pos="141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24"/>
        </w:tabs>
        <w:ind w:left="214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40"/>
        </w:tabs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48"/>
        </w:tabs>
        <w:ind w:left="427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664"/>
        </w:tabs>
        <w:ind w:left="56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372"/>
        </w:tabs>
        <w:ind w:left="639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−"/>
        <w:lvlJc w:val="left"/>
        <w:pPr>
          <w:ind w:left="709" w:hanging="20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17" w:hanging="1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25" w:hanging="1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33" w:hanging="17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41" w:hanging="1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49" w:hanging="14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57" w:hanging="13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665" w:hanging="12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▪"/>
        <w:lvlJc w:val="left"/>
        <w:pPr>
          <w:ind w:left="6373" w:hanging="11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