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before="100" w:after="100" w:line="240" w:lineRule="auto"/>
        <w:rPr>
          <w:rFonts w:ascii="Gill Sans UltraBold" w:cs="Gill Sans UltraBold" w:hAnsi="Gill Sans UltraBold" w:eastAsia="Gill Sans UltraBold"/>
          <w:color w:val="0070c0"/>
          <w:sz w:val="72"/>
          <w:szCs w:val="72"/>
          <w:u w:color="0070c0"/>
        </w:rPr>
      </w:pPr>
      <w:r>
        <w:rPr>
          <w:b w:val="1"/>
          <w:bCs w:val="1"/>
        </w:rPr>
        <w:drawing>
          <wp:inline distT="0" distB="0" distL="0" distR="0">
            <wp:extent cx="2066925" cy="620078"/>
            <wp:effectExtent l="0" t="0" r="0" b="0"/>
            <wp:docPr id="1073741825" name="officeArt object" descr="C:\Users\utente\AppData\Local\Microsoft\Windows\INetCache\Content.Word\UILSCUOLARUA_500p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C:\Users\utente\AppData\Local\Microsoft\Windows\INetCache\Content.Word\UILSCUOLARUA_500px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6200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 w:val="1"/>
          <w:bCs w:val="1"/>
          <w:color w:val="0070c0"/>
          <w:sz w:val="72"/>
          <w:szCs w:val="72"/>
          <w:u w:color="0070c0"/>
          <w:rtl w:val="0"/>
          <w:lang w:val="it-IT"/>
        </w:rPr>
        <w:t xml:space="preserve">         </w:t>
      </w:r>
      <w:r>
        <w:rPr>
          <w:rFonts w:ascii="Gill Sans UltraBold" w:hAnsi="Gill Sans UltraBold"/>
          <w:color w:val="0070c0"/>
          <w:sz w:val="72"/>
          <w:szCs w:val="72"/>
          <w:u w:color="0070c0"/>
          <w:rtl w:val="0"/>
          <w:lang w:val="it-IT"/>
        </w:rPr>
        <w:t>INFORMATICONUIL</w:t>
      </w:r>
    </w:p>
    <w:p>
      <w:pPr>
        <w:pStyle w:val="Normal.0"/>
        <w:rPr>
          <w:sz w:val="28"/>
          <w:szCs w:val="28"/>
        </w:rPr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866775</wp:posOffset>
            </wp:positionV>
            <wp:extent cx="2171700" cy="1543050"/>
            <wp:effectExtent l="0" t="0" r="0" b="0"/>
            <wp:wrapSquare wrapText="bothSides" distL="57150" distR="57150" distT="57150" distB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43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color w:val="555555"/>
          <w:sz w:val="32"/>
          <w:szCs w:val="32"/>
          <w:u w:color="555555"/>
          <w:rtl w:val="0"/>
          <w:lang w:val="it-IT"/>
        </w:rPr>
        <w:t xml:space="preserve">Decreto per il sistema integrato dei servizi per i bambini da zero a sei anni: </w:t>
      </w:r>
      <w:r>
        <w:rPr>
          <w:b w:val="1"/>
          <w:bCs w:val="1"/>
          <w:color w:val="555555"/>
          <w:sz w:val="32"/>
          <w:szCs w:val="32"/>
          <w:u w:color="555555"/>
        </w:rPr>
        <w:br w:type="textWrapping"/>
      </w:r>
      <w:r>
        <w:rPr>
          <w:b w:val="1"/>
          <w:bCs w:val="1"/>
          <w:color w:val="555555"/>
          <w:sz w:val="32"/>
          <w:szCs w:val="32"/>
          <w:u w:color="555555"/>
          <w:rtl w:val="0"/>
          <w:lang w:val="it-IT"/>
        </w:rPr>
        <w:t>un'occasione mancata della legge 107</w:t>
      </w:r>
      <w:r>
        <w:rPr>
          <w:color w:val="555555"/>
          <w:sz w:val="28"/>
          <w:szCs w:val="28"/>
          <w:u w:color="555555"/>
        </w:rPr>
        <w:br w:type="textWrapping"/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Dopo tanta fatica spesa per un decreto sul sistema integrato dei servizi per l'infanzia e della scuola dell'infanzia non esiste alcuna certezza sul futuro delle sezioni primavera e conseguentemente sulla eliminazione degli anticipi nella scuola dell'infanzia.</w:t>
      </w:r>
      <w:r>
        <w:rPr>
          <w:sz w:val="28"/>
          <w:szCs w:val="28"/>
        </w:rPr>
        <w:br w:type="textWrapping"/>
      </w:r>
      <w:r>
        <w:rPr>
          <w:sz w:val="28"/>
          <w:szCs w:val="28"/>
          <w:rtl w:val="0"/>
          <w:lang w:val="it-IT"/>
        </w:rPr>
        <w:t>Viene, cos</w:t>
      </w:r>
      <w:r>
        <w:rPr>
          <w:sz w:val="28"/>
          <w:szCs w:val="28"/>
          <w:rtl w:val="0"/>
          <w:lang w:val="it-IT"/>
        </w:rPr>
        <w:t>ì</w:t>
      </w:r>
      <w:r>
        <w:rPr>
          <w:sz w:val="28"/>
          <w:szCs w:val="28"/>
          <w:rtl w:val="0"/>
          <w:lang w:val="it-IT"/>
        </w:rPr>
        <w:t>, a ridursi la possibilit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 xml:space="preserve">di garantire alla scuola dell'infanzia sia l'organico necessario alla sua generalizzazione che quello per il potenziamento. Questo 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>emerso  nell'incontro tra il Coordinamento nazionale per le politiche dell'infanzia e della sua scuola e il vice capo di gabinetto dottor Rocco Pinneri.</w:t>
      </w:r>
      <w:r>
        <w:rPr>
          <w:sz w:val="28"/>
          <w:szCs w:val="28"/>
          <w:rtl w:val="0"/>
          <w:lang w:val="it-IT"/>
        </w:rPr>
        <w:t> </w:t>
        <w:br w:type="textWrapping"/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Il Coordinamento ha rimarcato la necessit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di avviare un confronto sull'attuazione del decreto per trasformare una norma da strumento per rifinanziare interventi sull'edilizia scolastica (finalit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certo condivisibile) in occasione di valorizzazione di esperienze e culture educative che debbono incontrarsi.</w:t>
      </w:r>
      <w:r>
        <w:rPr>
          <w:sz w:val="28"/>
          <w:szCs w:val="28"/>
        </w:rPr>
        <w:br w:type="textWrapping"/>
      </w:r>
    </w:p>
    <w:p>
      <w:pPr>
        <w:pStyle w:val="Normal.0"/>
      </w:pPr>
      <w:r>
        <w:rPr>
          <w:sz w:val="28"/>
          <w:szCs w:val="28"/>
          <w:rtl w:val="0"/>
          <w:lang w:val="it-IT"/>
        </w:rPr>
        <w:t>Tutte le criticit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dal Coordinamento espresse sul decreto rimangono confermate.</w:t>
      </w:r>
      <w:r>
        <w:rPr>
          <w:sz w:val="28"/>
          <w:szCs w:val="28"/>
          <w:rtl w:val="0"/>
          <w:lang w:val="it-IT"/>
        </w:rPr>
        <w:t> </w:t>
        <w:br w:type="textWrapping"/>
      </w:r>
      <w:r>
        <w:rPr>
          <w:sz w:val="28"/>
          <w:szCs w:val="28"/>
          <w:rtl w:val="0"/>
          <w:lang w:val="it-IT"/>
        </w:rPr>
        <w:t>Unica opportunit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resta quella del raccordo educativo offerta dalla scrittura delle Linee di indirizzo pedagogiche tra il segmento 0-3 e le Indicazioni nazionali per la scuola dell'infanzia, evitando per</w:t>
      </w:r>
      <w:r>
        <w:rPr>
          <w:sz w:val="28"/>
          <w:szCs w:val="28"/>
          <w:rtl w:val="0"/>
          <w:lang w:val="it-IT"/>
        </w:rPr>
        <w:t xml:space="preserve">ò </w:t>
      </w:r>
      <w:r>
        <w:rPr>
          <w:sz w:val="28"/>
          <w:szCs w:val="28"/>
          <w:rtl w:val="0"/>
          <w:lang w:val="it-IT"/>
        </w:rPr>
        <w:t>le derive assistenzialistiche sempre in agguato.</w:t>
      </w:r>
      <w:r>
        <w:rPr>
          <w:sz w:val="28"/>
          <w:szCs w:val="28"/>
          <w:rtl w:val="0"/>
          <w:lang w:val="it-IT"/>
        </w:rPr>
        <w:t> </w:t>
        <w:br w:type="textWrapping"/>
      </w:r>
      <w:r>
        <w:rPr>
          <w:sz w:val="28"/>
          <w:szCs w:val="28"/>
          <w:rtl w:val="0"/>
          <w:lang w:val="it-IT"/>
        </w:rPr>
        <w:t>Se anche questo obiettivo verr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mancato la legge riveler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tutta la sua debolezza.</w:t>
      </w:r>
      <w:r>
        <w:rPr>
          <w:sz w:val="28"/>
          <w:szCs w:val="28"/>
        </w:rPr>
        <w:br w:type="textWrapping"/>
      </w:r>
      <w:r>
        <w:rPr>
          <w:sz w:val="28"/>
          <w:szCs w:val="28"/>
          <w:rtl w:val="0"/>
          <w:lang w:val="it-IT"/>
        </w:rPr>
        <w:t>Proseguire su questa strada sarebbe inutile se non controproducente, avendo omesso il decreto anche di rimarcare che i servizi educativi non sono a domanda individuale.</w:t>
      </w:r>
      <w:r>
        <w:rPr>
          <w:sz w:val="28"/>
          <w:szCs w:val="28"/>
        </w:rPr>
        <w:br w:type="textWrapping"/>
      </w:r>
      <w:r>
        <w:rPr>
          <w:sz w:val="28"/>
          <w:szCs w:val="28"/>
          <w:rtl w:val="0"/>
          <w:lang w:val="it-IT"/>
        </w:rPr>
        <w:t>A quando un reale intervento che stabilisca pari opportunit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educative delle bambine e dei bambini di tutta la Penisola?</w:t>
      </w: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AIMC, ANDIS, CIDI,  CISL SCUOLA, FLC-CGIL, FNISM, MCE,  SNALS- CONFSAL, UILScuola</w:t>
      </w:r>
    </w:p>
    <w:p>
      <w:pPr>
        <w:pStyle w:val="Normal.0"/>
        <w:spacing w:before="100" w:after="100" w:line="240" w:lineRule="auto"/>
      </w:pPr>
      <w:r>
        <w:rPr>
          <w:b w:val="1"/>
          <w:bCs w:val="1"/>
          <w:color w:val="0070c0"/>
          <w:u w:color="0070c0"/>
        </w:rPr>
      </w:r>
    </w:p>
    <w:sectPr>
      <w:headerReference w:type="default" r:id="rId6"/>
      <w:footerReference w:type="default" r:id="rId7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Gill Sans Ultra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