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e"/>
      </w:pPr>
    </w:p>
    <w:p>
      <w:pPr>
        <w:pStyle w:val="Normale"/>
      </w:pPr>
      <w:r>
        <w:drawing>
          <wp:inline distT="0" distB="0" distL="0" distR="0">
            <wp:extent cx="6733197" cy="2429015"/>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BANNER FB RSU_2018_815x307 copia.jpg"/>
                    <pic:cNvPicPr>
                      <a:picLocks noChangeAspect="1"/>
                    </pic:cNvPicPr>
                  </pic:nvPicPr>
                  <pic:blipFill>
                    <a:blip r:embed="rId4">
                      <a:extLst/>
                    </a:blip>
                    <a:stretch>
                      <a:fillRect/>
                    </a:stretch>
                  </pic:blipFill>
                  <pic:spPr>
                    <a:xfrm>
                      <a:off x="0" y="0"/>
                      <a:ext cx="6733197" cy="2429015"/>
                    </a:xfrm>
                    <a:prstGeom prst="rect">
                      <a:avLst/>
                    </a:prstGeom>
                    <a:ln w="12700" cap="flat">
                      <a:noFill/>
                      <a:miter lim="400000"/>
                    </a:ln>
                    <a:effectLst/>
                  </pic:spPr>
                </pic:pic>
              </a:graphicData>
            </a:graphic>
          </wp:inline>
        </w:drawing>
      </w:r>
    </w:p>
    <w:p>
      <w:pPr>
        <w:pStyle w:val="Normale"/>
      </w:pPr>
    </w:p>
    <w:p>
      <w:pPr>
        <w:pStyle w:val="Normale"/>
        <w:jc w:val="center"/>
        <w:rPr>
          <w:rFonts w:ascii="Arial" w:cs="Arial" w:hAnsi="Arial" w:eastAsia="Arial"/>
          <w:color w:val="17365d"/>
          <w:sz w:val="52"/>
          <w:szCs w:val="52"/>
          <w:u w:color="17365d"/>
        </w:rPr>
      </w:pPr>
      <w:r>
        <w:rPr>
          <w:rFonts w:ascii="Arial" w:hAnsi="Arial"/>
          <w:b w:val="1"/>
          <w:bCs w:val="1"/>
          <w:color w:val="17365d"/>
          <w:sz w:val="52"/>
          <w:szCs w:val="52"/>
          <w:u w:color="17365d"/>
          <w:rtl w:val="0"/>
          <w:lang w:val="it-IT"/>
        </w:rPr>
        <w:t>I numeri della scuola italiana</w:t>
      </w:r>
      <w:r>
        <w:rPr>
          <w:rFonts w:ascii="Arial Unicode MS" w:cs="Arial Unicode MS" w:hAnsi="Arial Unicode MS" w:eastAsia="Arial Unicode MS"/>
          <w:b w:val="0"/>
          <w:bCs w:val="0"/>
          <w:i w:val="0"/>
          <w:iCs w:val="0"/>
          <w:color w:val="17365d"/>
          <w:sz w:val="52"/>
          <w:szCs w:val="52"/>
          <w:u w:color="17365d"/>
        </w:rPr>
        <w:br w:type="textWrapping"/>
      </w:r>
      <w:r>
        <w:rPr>
          <w:rFonts w:ascii="Arial" w:hAnsi="Arial"/>
          <w:color w:val="17365d"/>
          <w:sz w:val="52"/>
          <w:szCs w:val="52"/>
          <w:u w:color="17365d"/>
          <w:rtl w:val="0"/>
          <w:lang w:val="it-IT"/>
        </w:rPr>
        <w:t>Guardando l</w:t>
      </w:r>
      <w:r>
        <w:rPr>
          <w:rFonts w:ascii="Arial" w:hAnsi="Arial" w:hint="default"/>
          <w:color w:val="17365d"/>
          <w:sz w:val="52"/>
          <w:szCs w:val="52"/>
          <w:u w:color="17365d"/>
          <w:rtl w:val="0"/>
          <w:lang w:val="it-IT"/>
        </w:rPr>
        <w:t>’</w:t>
      </w:r>
      <w:r>
        <w:rPr>
          <w:rFonts w:ascii="Arial" w:hAnsi="Arial"/>
          <w:color w:val="17365d"/>
          <w:sz w:val="52"/>
          <w:szCs w:val="52"/>
          <w:u w:color="17365d"/>
          <w:rtl w:val="0"/>
          <w:lang w:val="it-IT"/>
        </w:rPr>
        <w:t>Europa</w:t>
      </w:r>
    </w:p>
    <w:p>
      <w:pPr>
        <w:pStyle w:val="Normale"/>
        <w:rPr>
          <w:color w:val="1f497d"/>
          <w:sz w:val="12"/>
          <w:szCs w:val="12"/>
          <w:u w:color="1f497d"/>
        </w:rPr>
      </w:pPr>
    </w:p>
    <w:p>
      <w:pPr>
        <w:pStyle w:val="Normale"/>
        <w:numPr>
          <w:ilvl w:val="0"/>
          <w:numId w:val="2"/>
        </w:numPr>
        <w:bidi w:val="0"/>
        <w:ind w:right="0"/>
        <w:jc w:val="left"/>
        <w:rPr>
          <w:b w:val="1"/>
          <w:bCs w:val="1"/>
          <w:color w:val="1f497d"/>
          <w:sz w:val="28"/>
          <w:szCs w:val="28"/>
          <w:u w:color="1f497d"/>
          <w:rtl w:val="0"/>
          <w:lang w:val="it-IT"/>
        </w:rPr>
      </w:pPr>
      <w:r>
        <w:rPr>
          <w:b w:val="1"/>
          <w:bCs w:val="1"/>
          <w:color w:val="1f497d"/>
          <w:sz w:val="28"/>
          <w:szCs w:val="28"/>
          <w:u w:color="1f497d"/>
          <w:rtl w:val="0"/>
          <w:lang w:val="it-IT"/>
        </w:rPr>
        <w:t xml:space="preserve">Stipendi congelati: </w:t>
      </w:r>
      <w:r>
        <w:rPr>
          <w:b w:val="1"/>
          <w:bCs w:val="1"/>
          <w:color w:val="1f497d"/>
          <w:sz w:val="28"/>
          <w:szCs w:val="28"/>
          <w:u w:color="1f497d"/>
          <w:rtl w:val="0"/>
          <w:lang w:val="it-IT"/>
        </w:rPr>
        <w:t xml:space="preserve">è </w:t>
      </w:r>
      <w:r>
        <w:rPr>
          <w:b w:val="1"/>
          <w:bCs w:val="1"/>
          <w:color w:val="1f497d"/>
          <w:sz w:val="28"/>
          <w:szCs w:val="28"/>
          <w:u w:color="1f497d"/>
          <w:rtl w:val="0"/>
          <w:lang w:val="it-IT"/>
        </w:rPr>
        <w:t>rimasta solo l</w:t>
      </w:r>
      <w:r>
        <w:rPr>
          <w:b w:val="1"/>
          <w:bCs w:val="1"/>
          <w:color w:val="1f497d"/>
          <w:sz w:val="28"/>
          <w:szCs w:val="28"/>
          <w:u w:color="1f497d"/>
          <w:rtl w:val="0"/>
          <w:lang w:val="it-IT"/>
        </w:rPr>
        <w:t>’</w:t>
      </w:r>
      <w:r>
        <w:rPr>
          <w:b w:val="1"/>
          <w:bCs w:val="1"/>
          <w:color w:val="1f497d"/>
          <w:sz w:val="28"/>
          <w:szCs w:val="28"/>
          <w:u w:color="1f497d"/>
          <w:rtl w:val="0"/>
          <w:lang w:val="it-IT"/>
        </w:rPr>
        <w:t>Italia</w:t>
      </w:r>
    </w:p>
    <w:p>
      <w:pPr>
        <w:pStyle w:val="Normale"/>
        <w:numPr>
          <w:ilvl w:val="0"/>
          <w:numId w:val="2"/>
        </w:numPr>
        <w:bidi w:val="0"/>
        <w:ind w:right="0"/>
        <w:jc w:val="left"/>
        <w:rPr>
          <w:b w:val="1"/>
          <w:bCs w:val="1"/>
          <w:color w:val="1f497d"/>
          <w:sz w:val="28"/>
          <w:szCs w:val="28"/>
          <w:u w:color="1f497d"/>
          <w:rtl w:val="0"/>
          <w:lang w:val="it-IT"/>
        </w:rPr>
      </w:pPr>
      <w:r>
        <w:rPr>
          <w:b w:val="1"/>
          <w:bCs w:val="1"/>
          <w:color w:val="1f497d"/>
          <w:sz w:val="28"/>
          <w:szCs w:val="28"/>
          <w:u w:color="1f497d"/>
          <w:rtl w:val="0"/>
          <w:lang w:val="it-IT"/>
        </w:rPr>
        <w:t>PIL e spese per l</w:t>
      </w:r>
      <w:r>
        <w:rPr>
          <w:b w:val="1"/>
          <w:bCs w:val="1"/>
          <w:color w:val="1f497d"/>
          <w:sz w:val="28"/>
          <w:szCs w:val="28"/>
          <w:u w:color="1f497d"/>
          <w:rtl w:val="0"/>
          <w:lang w:val="it-IT"/>
        </w:rPr>
        <w:t>’</w:t>
      </w:r>
      <w:r>
        <w:rPr>
          <w:b w:val="1"/>
          <w:bCs w:val="1"/>
          <w:color w:val="1f497d"/>
          <w:sz w:val="28"/>
          <w:szCs w:val="28"/>
          <w:u w:color="1f497d"/>
          <w:rtl w:val="0"/>
          <w:lang w:val="it-IT"/>
        </w:rPr>
        <w:t>istruzione</w:t>
      </w:r>
    </w:p>
    <w:p>
      <w:pPr>
        <w:pStyle w:val="Normale"/>
        <w:numPr>
          <w:ilvl w:val="0"/>
          <w:numId w:val="2"/>
        </w:numPr>
        <w:bidi w:val="0"/>
        <w:ind w:right="0"/>
        <w:jc w:val="left"/>
        <w:rPr>
          <w:b w:val="1"/>
          <w:bCs w:val="1"/>
          <w:color w:val="1f497d"/>
          <w:sz w:val="28"/>
          <w:szCs w:val="28"/>
          <w:u w:color="1f497d"/>
          <w:rtl w:val="0"/>
          <w:lang w:val="it-IT"/>
        </w:rPr>
      </w:pPr>
      <w:r>
        <w:rPr>
          <w:b w:val="1"/>
          <w:bCs w:val="1"/>
          <w:color w:val="1f497d"/>
          <w:sz w:val="28"/>
          <w:szCs w:val="28"/>
          <w:u w:color="1f497d"/>
          <w:rtl w:val="0"/>
          <w:lang w:val="it-IT"/>
        </w:rPr>
        <w:t>Spese pubbliche per l</w:t>
      </w:r>
      <w:r>
        <w:rPr>
          <w:b w:val="1"/>
          <w:bCs w:val="1"/>
          <w:color w:val="1f497d"/>
          <w:sz w:val="28"/>
          <w:szCs w:val="28"/>
          <w:u w:color="1f497d"/>
          <w:rtl w:val="0"/>
          <w:lang w:val="it-IT"/>
        </w:rPr>
        <w:t>’</w:t>
      </w:r>
      <w:r>
        <w:rPr>
          <w:b w:val="1"/>
          <w:bCs w:val="1"/>
          <w:color w:val="1f497d"/>
          <w:sz w:val="28"/>
          <w:szCs w:val="28"/>
          <w:u w:color="1f497d"/>
          <w:rtl w:val="0"/>
          <w:lang w:val="it-IT"/>
        </w:rPr>
        <w:t>istruzione e spese pubbliche totali</w:t>
      </w:r>
    </w:p>
    <w:p>
      <w:pPr>
        <w:pStyle w:val="Normale"/>
        <w:numPr>
          <w:ilvl w:val="0"/>
          <w:numId w:val="2"/>
        </w:numPr>
        <w:bidi w:val="0"/>
        <w:ind w:right="0"/>
        <w:jc w:val="left"/>
        <w:rPr>
          <w:b w:val="1"/>
          <w:bCs w:val="1"/>
          <w:color w:val="1f497d"/>
          <w:sz w:val="28"/>
          <w:szCs w:val="28"/>
          <w:u w:color="1f497d"/>
          <w:rtl w:val="0"/>
          <w:lang w:val="it-IT"/>
        </w:rPr>
      </w:pPr>
      <w:r>
        <w:rPr>
          <w:b w:val="1"/>
          <w:bCs w:val="1"/>
          <w:color w:val="1f497d"/>
          <w:sz w:val="28"/>
          <w:szCs w:val="28"/>
          <w:u w:color="1f497d"/>
          <w:rtl w:val="0"/>
          <w:lang w:val="it-IT"/>
        </w:rPr>
        <w:t xml:space="preserve">Le retribuzioni e le politiche europee </w:t>
      </w:r>
    </w:p>
    <w:p>
      <w:pPr>
        <w:pStyle w:val="Normale"/>
        <w:numPr>
          <w:ilvl w:val="0"/>
          <w:numId w:val="2"/>
        </w:numPr>
        <w:bidi w:val="0"/>
        <w:ind w:right="0"/>
        <w:jc w:val="left"/>
        <w:rPr>
          <w:b w:val="1"/>
          <w:bCs w:val="1"/>
          <w:color w:val="1f497d"/>
          <w:sz w:val="28"/>
          <w:szCs w:val="28"/>
          <w:u w:color="1f497d"/>
          <w:rtl w:val="0"/>
          <w:lang w:val="it-IT"/>
        </w:rPr>
      </w:pPr>
      <w:r>
        <w:rPr>
          <w:b w:val="1"/>
          <w:bCs w:val="1"/>
          <w:color w:val="1f497d"/>
          <w:sz w:val="28"/>
          <w:szCs w:val="28"/>
          <w:u w:color="1f497d"/>
          <w:rtl w:val="0"/>
          <w:lang w:val="it-IT"/>
        </w:rPr>
        <w:t>Il lavoro dei docenti</w:t>
      </w:r>
    </w:p>
    <w:p>
      <w:pPr>
        <w:pStyle w:val="Normale"/>
        <w:numPr>
          <w:ilvl w:val="0"/>
          <w:numId w:val="2"/>
        </w:numPr>
        <w:bidi w:val="0"/>
        <w:ind w:right="0"/>
        <w:jc w:val="left"/>
        <w:rPr>
          <w:b w:val="1"/>
          <w:bCs w:val="1"/>
          <w:color w:val="1f497d"/>
          <w:sz w:val="28"/>
          <w:szCs w:val="28"/>
          <w:u w:color="1f497d"/>
          <w:rtl w:val="0"/>
          <w:lang w:val="it-IT"/>
        </w:rPr>
      </w:pPr>
      <w:r>
        <w:rPr>
          <w:b w:val="1"/>
          <w:bCs w:val="1"/>
          <w:color w:val="1f497d"/>
          <w:sz w:val="28"/>
          <w:szCs w:val="28"/>
          <w:u w:color="1f497d"/>
          <w:rtl w:val="0"/>
          <w:lang w:val="it-IT"/>
        </w:rPr>
        <w:t>L</w:t>
      </w:r>
      <w:r>
        <w:rPr>
          <w:b w:val="1"/>
          <w:bCs w:val="1"/>
          <w:color w:val="1f497d"/>
          <w:sz w:val="28"/>
          <w:szCs w:val="28"/>
          <w:u w:color="1f497d"/>
          <w:rtl w:val="0"/>
          <w:lang w:val="it-IT"/>
        </w:rPr>
        <w:t>’</w:t>
      </w:r>
      <w:r>
        <w:rPr>
          <w:b w:val="1"/>
          <w:bCs w:val="1"/>
          <w:color w:val="1f497d"/>
          <w:sz w:val="28"/>
          <w:szCs w:val="28"/>
          <w:u w:color="1f497d"/>
          <w:rtl w:val="0"/>
          <w:lang w:val="it-IT"/>
        </w:rPr>
        <w:t xml:space="preserve">orario settimanale  </w:t>
      </w:r>
    </w:p>
    <w:p>
      <w:pPr>
        <w:pStyle w:val="Normale"/>
        <w:numPr>
          <w:ilvl w:val="0"/>
          <w:numId w:val="2"/>
        </w:numPr>
        <w:bidi w:val="0"/>
        <w:ind w:right="0"/>
        <w:jc w:val="left"/>
        <w:rPr>
          <w:b w:val="1"/>
          <w:bCs w:val="1"/>
          <w:color w:val="1f497d"/>
          <w:sz w:val="28"/>
          <w:szCs w:val="28"/>
          <w:u w:color="1f497d"/>
          <w:rtl w:val="0"/>
          <w:lang w:val="it-IT"/>
        </w:rPr>
      </w:pPr>
      <w:r>
        <w:rPr>
          <w:b w:val="1"/>
          <w:bCs w:val="1"/>
          <w:color w:val="1f497d"/>
          <w:sz w:val="28"/>
          <w:szCs w:val="28"/>
          <w:u w:color="1f497d"/>
          <w:rtl w:val="0"/>
          <w:lang w:val="it-IT"/>
        </w:rPr>
        <w:t>La durata dell</w:t>
      </w:r>
      <w:r>
        <w:rPr>
          <w:b w:val="1"/>
          <w:bCs w:val="1"/>
          <w:color w:val="1f497d"/>
          <w:sz w:val="28"/>
          <w:szCs w:val="28"/>
          <w:u w:color="1f497d"/>
          <w:rtl w:val="0"/>
          <w:lang w:val="it-IT"/>
        </w:rPr>
        <w:t>’</w:t>
      </w:r>
      <w:r>
        <w:rPr>
          <w:b w:val="1"/>
          <w:bCs w:val="1"/>
          <w:color w:val="1f497d"/>
          <w:sz w:val="28"/>
          <w:szCs w:val="28"/>
          <w:u w:color="1f497d"/>
          <w:rtl w:val="0"/>
          <w:lang w:val="it-IT"/>
        </w:rPr>
        <w:t>anno scolastico</w:t>
      </w:r>
    </w:p>
    <w:p>
      <w:pPr>
        <w:pStyle w:val="Normale"/>
        <w:numPr>
          <w:ilvl w:val="0"/>
          <w:numId w:val="2"/>
        </w:numPr>
        <w:bidi w:val="0"/>
        <w:spacing w:after="0"/>
        <w:ind w:right="0"/>
        <w:jc w:val="left"/>
        <w:rPr>
          <w:b w:val="1"/>
          <w:bCs w:val="1"/>
          <w:color w:val="1f497d"/>
          <w:sz w:val="28"/>
          <w:szCs w:val="28"/>
          <w:u w:color="1f497d"/>
          <w:rtl w:val="0"/>
          <w:lang w:val="it-IT"/>
        </w:rPr>
      </w:pPr>
      <w:r>
        <w:rPr>
          <w:b w:val="1"/>
          <w:bCs w:val="1"/>
          <w:color w:val="1f497d"/>
          <w:sz w:val="28"/>
          <w:szCs w:val="28"/>
          <w:u w:color="1f497d"/>
          <w:rtl w:val="0"/>
          <w:lang w:val="it-IT"/>
        </w:rPr>
        <w:t>Gli insegnanti sono troppi</w:t>
      </w:r>
    </w:p>
    <w:p>
      <w:pPr>
        <w:pStyle w:val="Normale"/>
        <w:spacing w:after="0"/>
        <w:ind w:left="1634" w:firstLine="0"/>
        <w:rPr>
          <w:b w:val="1"/>
          <w:bCs w:val="1"/>
          <w:color w:val="1f497d"/>
          <w:sz w:val="28"/>
          <w:szCs w:val="28"/>
          <w:u w:color="1f497d"/>
        </w:rPr>
      </w:pPr>
    </w:p>
    <w:p>
      <w:pPr>
        <w:pStyle w:val="Normale"/>
        <w:rPr>
          <w:color w:val="1f497d"/>
          <w:u w:color="1f497d"/>
        </w:rPr>
      </w:pPr>
    </w:p>
    <w:p>
      <w:pPr>
        <w:pStyle w:val="Normale"/>
        <w:spacing w:after="0"/>
        <w:rPr>
          <w:b w:val="1"/>
          <w:bCs w:val="1"/>
          <w:color w:val="1f497d"/>
          <w:sz w:val="24"/>
          <w:szCs w:val="24"/>
          <w:u w:color="1f497d"/>
        </w:rPr>
      </w:pPr>
      <w:r>
        <w:rPr>
          <w:b w:val="1"/>
          <w:bCs w:val="1"/>
          <w:color w:val="1f497d"/>
          <w:u w:color="1f497d"/>
          <w:rtl w:val="0"/>
        </w:rPr>
        <w:tab/>
        <w:tab/>
        <w:tab/>
        <w:tab/>
        <w:tab/>
        <w:tab/>
        <w:tab/>
        <w:tab/>
        <w:tab/>
        <w:t xml:space="preserve">  </w:t>
      </w:r>
      <w:r>
        <w:rPr>
          <w:b w:val="1"/>
          <w:bCs w:val="1"/>
          <w:color w:val="1f497d"/>
          <w:sz w:val="24"/>
          <w:szCs w:val="24"/>
          <w:u w:color="1f497d"/>
          <w:rtl w:val="0"/>
          <w:lang w:val="it-IT"/>
        </w:rPr>
        <w:t>UFFICIO STUDI UIL SCUOLA</w:t>
      </w:r>
    </w:p>
    <w:p>
      <w:pPr>
        <w:pStyle w:val="Normale"/>
        <w:spacing w:after="0"/>
        <w:rPr>
          <w:b w:val="1"/>
          <w:bCs w:val="1"/>
          <w:color w:val="1f497d"/>
          <w:sz w:val="24"/>
          <w:szCs w:val="24"/>
          <w:u w:color="1f497d"/>
        </w:rPr>
      </w:pPr>
      <w:r>
        <w:rPr>
          <w:b w:val="1"/>
          <w:bCs w:val="1"/>
          <w:color w:val="1f497d"/>
          <w:sz w:val="24"/>
          <w:szCs w:val="24"/>
          <w:u w:color="1f497d"/>
          <w:rtl w:val="0"/>
        </w:rPr>
        <w:tab/>
        <w:tab/>
        <w:tab/>
        <w:tab/>
        <w:tab/>
        <w:tab/>
        <w:tab/>
        <w:tab/>
        <w:tab/>
        <w:t>Coordinamento:  Lello Macro</w:t>
      </w:r>
    </w:p>
    <w:p>
      <w:pPr>
        <w:pStyle w:val="Normale"/>
        <w:spacing w:after="0"/>
        <w:rPr>
          <w:b w:val="1"/>
          <w:bCs w:val="1"/>
          <w:color w:val="1f497d"/>
          <w:u w:color="1f497d"/>
        </w:rPr>
      </w:pPr>
      <w:r>
        <w:rPr>
          <w:b w:val="1"/>
          <w:bCs w:val="1"/>
          <w:color w:val="1f497d"/>
          <w:sz w:val="24"/>
          <w:szCs w:val="24"/>
          <w:u w:color="1f497d"/>
          <w:rtl w:val="0"/>
        </w:rPr>
        <w:tab/>
        <w:tab/>
        <w:tab/>
        <w:tab/>
        <w:tab/>
        <w:tab/>
        <w:tab/>
        <w:tab/>
        <w:tab/>
        <w:tab/>
        <w:t>Settembre 2017</w:t>
      </w:r>
    </w:p>
    <w:p>
      <w:pPr>
        <w:pStyle w:val="Normale"/>
        <w:spacing w:after="0"/>
        <w:jc w:val="center"/>
        <w:rPr>
          <w:b w:val="1"/>
          <w:bCs w:val="1"/>
          <w:color w:val="0f243e"/>
          <w:sz w:val="40"/>
          <w:szCs w:val="40"/>
          <w:u w:color="0f243e"/>
        </w:rPr>
      </w:pPr>
      <w:r>
        <w:rPr>
          <w:b w:val="1"/>
          <w:bCs w:val="1"/>
          <w:color w:val="0f243e"/>
          <w:sz w:val="40"/>
          <w:szCs w:val="40"/>
          <w:u w:color="0f243e"/>
        </w:rPr>
        <w:br w:type="textWrapping"/>
      </w:r>
      <w:r>
        <w:rPr>
          <w:b w:val="1"/>
          <w:bCs w:val="1"/>
          <w:color w:val="0f243e"/>
          <w:sz w:val="40"/>
          <w:szCs w:val="40"/>
          <w:u w:color="0f243e"/>
          <w:rtl w:val="0"/>
          <w:lang w:val="it-IT"/>
        </w:rPr>
        <w:t xml:space="preserve">Stipendi congelati: </w:t>
      </w:r>
      <w:r>
        <w:rPr>
          <w:b w:val="1"/>
          <w:bCs w:val="1"/>
          <w:color w:val="0f243e"/>
          <w:sz w:val="40"/>
          <w:szCs w:val="40"/>
          <w:u w:color="0f243e"/>
          <w:rtl w:val="0"/>
          <w:lang w:val="it-IT"/>
        </w:rPr>
        <w:t xml:space="preserve">è </w:t>
      </w:r>
      <w:r>
        <w:rPr>
          <w:b w:val="1"/>
          <w:bCs w:val="1"/>
          <w:color w:val="0f243e"/>
          <w:sz w:val="40"/>
          <w:szCs w:val="40"/>
          <w:u w:color="0f243e"/>
          <w:rtl w:val="0"/>
          <w:lang w:val="it-IT"/>
        </w:rPr>
        <w:t>rimasta solo l</w:t>
      </w:r>
      <w:r>
        <w:rPr>
          <w:b w:val="1"/>
          <w:bCs w:val="1"/>
          <w:color w:val="0f243e"/>
          <w:sz w:val="40"/>
          <w:szCs w:val="40"/>
          <w:u w:color="0f243e"/>
          <w:rtl w:val="0"/>
          <w:lang w:val="it-IT"/>
        </w:rPr>
        <w:t>’</w:t>
      </w:r>
      <w:r>
        <w:rPr>
          <w:b w:val="1"/>
          <w:bCs w:val="1"/>
          <w:color w:val="0f243e"/>
          <w:sz w:val="40"/>
          <w:szCs w:val="40"/>
          <w:u w:color="0f243e"/>
          <w:rtl w:val="0"/>
          <w:lang w:val="it-IT"/>
        </w:rPr>
        <w:t>Italia</w:t>
      </w:r>
    </w:p>
    <w:p>
      <w:pPr>
        <w:pStyle w:val="Normale"/>
        <w:spacing w:after="0"/>
      </w:pPr>
    </w:p>
    <w:p>
      <w:pPr>
        <w:pStyle w:val="Normale"/>
        <w:spacing w:after="0"/>
        <w:ind w:left="567" w:right="827" w:firstLine="0"/>
        <w:jc w:val="both"/>
        <w:rPr>
          <w:color w:val="0f243e"/>
          <w:sz w:val="24"/>
          <w:szCs w:val="24"/>
          <w:u w:color="0f243e"/>
        </w:rPr>
      </w:pPr>
      <w:r>
        <w:rPr>
          <w:color w:val="0f243e"/>
          <w:sz w:val="24"/>
          <w:szCs w:val="24"/>
          <w:u w:color="0f243e"/>
          <w:rtl w:val="0"/>
          <w:lang w:val="it-IT"/>
        </w:rPr>
        <w:t>La rete europea di informazione sull</w:t>
      </w:r>
      <w:r>
        <w:rPr>
          <w:color w:val="0f243e"/>
          <w:sz w:val="24"/>
          <w:szCs w:val="24"/>
          <w:u w:color="0f243e"/>
          <w:rtl w:val="0"/>
          <w:lang w:val="it-IT"/>
        </w:rPr>
        <w:t>’</w:t>
      </w:r>
      <w:r>
        <w:rPr>
          <w:color w:val="0f243e"/>
          <w:sz w:val="24"/>
          <w:szCs w:val="24"/>
          <w:u w:color="0f243e"/>
          <w:rtl w:val="0"/>
          <w:lang w:val="it-IT"/>
        </w:rPr>
        <w:t xml:space="preserve">istruzione, Eurydice, nella collana </w:t>
      </w:r>
      <w:r>
        <w:rPr>
          <w:color w:val="0f243e"/>
          <w:sz w:val="24"/>
          <w:szCs w:val="24"/>
          <w:u w:color="0f243e"/>
          <w:rtl w:val="0"/>
          <w:lang w:val="it-IT"/>
        </w:rPr>
        <w:t>«</w:t>
      </w:r>
      <w:r>
        <w:rPr>
          <w:color w:val="0f243e"/>
          <w:sz w:val="24"/>
          <w:szCs w:val="24"/>
          <w:u w:color="0f243e"/>
          <w:rtl w:val="0"/>
          <w:lang w:val="it-IT"/>
        </w:rPr>
        <w:t>Fatti e Cifre</w:t>
      </w:r>
      <w:r>
        <w:rPr>
          <w:color w:val="0f243e"/>
          <w:sz w:val="24"/>
          <w:szCs w:val="24"/>
          <w:u w:color="0f243e"/>
          <w:rtl w:val="0"/>
          <w:lang w:val="it-IT"/>
        </w:rPr>
        <w:t xml:space="preserve">»  </w:t>
      </w:r>
      <w:r>
        <w:rPr>
          <w:color w:val="0f243e"/>
          <w:sz w:val="24"/>
          <w:szCs w:val="24"/>
          <w:u w:color="0f243e"/>
          <w:rtl w:val="0"/>
          <w:lang w:val="it-IT"/>
        </w:rPr>
        <w:t>ha fornito negli ultimi anni una fotografia aggiornata sullo stato delle variazioni retributive del personale scolastico europeo in relazione allo stato di crisi economico-finanziaria che ha colpito l</w:t>
      </w:r>
      <w:r>
        <w:rPr>
          <w:color w:val="0f243e"/>
          <w:sz w:val="24"/>
          <w:szCs w:val="24"/>
          <w:u w:color="0f243e"/>
          <w:rtl w:val="0"/>
          <w:lang w:val="it-IT"/>
        </w:rPr>
        <w:t>’</w:t>
      </w:r>
      <w:r>
        <w:rPr>
          <w:color w:val="0f243e"/>
          <w:sz w:val="24"/>
          <w:szCs w:val="24"/>
          <w:u w:color="0f243e"/>
          <w:rtl w:val="0"/>
          <w:lang w:val="it-IT"/>
        </w:rPr>
        <w:t>Unione Europea a partire dal 2010 e che ha visto i vari governi reagire in modo diverso.</w:t>
      </w:r>
    </w:p>
    <w:p>
      <w:pPr>
        <w:pStyle w:val="Normale"/>
        <w:spacing w:after="0"/>
        <w:ind w:left="567" w:right="827" w:firstLine="0"/>
        <w:rPr>
          <w:color w:val="0f243e"/>
          <w:sz w:val="24"/>
          <w:szCs w:val="24"/>
          <w:u w:color="0f243e"/>
        </w:rPr>
      </w:pPr>
    </w:p>
    <w:p>
      <w:pPr>
        <w:pStyle w:val="Normale"/>
        <w:spacing w:after="0"/>
        <w:ind w:left="567" w:right="827" w:firstLine="0"/>
        <w:jc w:val="both"/>
        <w:rPr>
          <w:color w:val="0f243e"/>
          <w:sz w:val="24"/>
          <w:szCs w:val="24"/>
          <w:u w:color="0f243e"/>
        </w:rPr>
      </w:pPr>
      <w:r>
        <w:rPr>
          <w:color w:val="0f243e"/>
          <w:sz w:val="24"/>
          <w:szCs w:val="24"/>
          <w:u w:color="0f243e"/>
          <w:rtl w:val="0"/>
          <w:lang w:val="it-IT"/>
        </w:rPr>
        <w:t>Le infografiche mostrano il trend degli stipendi nei diversi paesi, a partire dal 2011/12:</w:t>
      </w:r>
      <w:r>
        <w:rPr>
          <w:color w:val="0f243e"/>
          <w:sz w:val="24"/>
          <w:szCs w:val="24"/>
          <w:u w:color="0f243e"/>
        </w:rPr>
        <w:br w:type="textWrapping"/>
      </w:r>
    </w:p>
    <w:p>
      <w:pPr>
        <w:pStyle w:val="Normale"/>
        <w:numPr>
          <w:ilvl w:val="0"/>
          <w:numId w:val="4"/>
        </w:numPr>
        <w:bidi w:val="0"/>
        <w:spacing w:after="0"/>
        <w:ind w:right="827"/>
        <w:jc w:val="left"/>
        <w:rPr>
          <w:color w:val="0f243e"/>
          <w:sz w:val="24"/>
          <w:szCs w:val="24"/>
          <w:u w:color="0f243e"/>
          <w:rtl w:val="0"/>
          <w:lang w:val="it-IT"/>
        </w:rPr>
      </w:pPr>
      <w:r>
        <w:rPr>
          <w:b w:val="1"/>
          <w:bCs w:val="1"/>
          <w:color w:val="0f243e"/>
          <w:sz w:val="24"/>
          <w:szCs w:val="24"/>
          <w:u w:color="0f243e"/>
          <w:rtl w:val="0"/>
          <w:lang w:val="it-IT"/>
        </w:rPr>
        <w:t>Svezia, Finlandia, Danimarca, Belgio, Austria, Romania, Lussemburgo</w:t>
      </w:r>
      <w:r>
        <w:rPr>
          <w:color w:val="0f243e"/>
          <w:sz w:val="24"/>
          <w:szCs w:val="24"/>
          <w:u w:color="0f243e"/>
          <w:rtl w:val="0"/>
          <w:lang w:val="it-IT"/>
        </w:rPr>
        <w:t>: non sono intervenuti sulle retribuzioni del personale.</w:t>
      </w:r>
    </w:p>
    <w:p>
      <w:pPr>
        <w:pStyle w:val="Normale"/>
        <w:numPr>
          <w:ilvl w:val="0"/>
          <w:numId w:val="4"/>
        </w:numPr>
        <w:bidi w:val="0"/>
        <w:spacing w:after="0"/>
        <w:ind w:right="827"/>
        <w:jc w:val="left"/>
        <w:rPr>
          <w:color w:val="0f243e"/>
          <w:sz w:val="24"/>
          <w:szCs w:val="24"/>
          <w:u w:color="0f243e"/>
          <w:rtl w:val="0"/>
          <w:lang w:val="it-IT"/>
        </w:rPr>
      </w:pPr>
      <w:r>
        <w:rPr>
          <w:b w:val="1"/>
          <w:bCs w:val="1"/>
          <w:color w:val="0f243e"/>
          <w:sz w:val="24"/>
          <w:szCs w:val="24"/>
          <w:u w:color="0f243e"/>
          <w:rtl w:val="0"/>
          <w:lang w:val="it-IT"/>
        </w:rPr>
        <w:t>Grecia, Portogallo, Slovenia e, parzialmente Irlanda</w:t>
      </w:r>
      <w:r>
        <w:rPr>
          <w:color w:val="0f243e"/>
          <w:sz w:val="24"/>
          <w:szCs w:val="24"/>
          <w:u w:color="0f243e"/>
          <w:rtl w:val="0"/>
          <w:lang w:val="it-IT"/>
        </w:rPr>
        <w:t>, hanno portato una contrazione agli stipendi, terminata per tutti entro l</w:t>
      </w:r>
      <w:r>
        <w:rPr>
          <w:color w:val="0f243e"/>
          <w:sz w:val="24"/>
          <w:szCs w:val="24"/>
          <w:u w:color="0f243e"/>
          <w:rtl w:val="0"/>
          <w:lang w:val="it-IT"/>
        </w:rPr>
        <w:t>’</w:t>
      </w:r>
      <w:r>
        <w:rPr>
          <w:color w:val="0f243e"/>
          <w:sz w:val="24"/>
          <w:szCs w:val="24"/>
          <w:u w:color="0f243e"/>
          <w:rtl w:val="0"/>
          <w:lang w:val="it-IT"/>
        </w:rPr>
        <w:t xml:space="preserve">anno 2013/2014; </w:t>
      </w:r>
    </w:p>
    <w:p>
      <w:pPr>
        <w:pStyle w:val="Normale"/>
        <w:numPr>
          <w:ilvl w:val="0"/>
          <w:numId w:val="4"/>
        </w:numPr>
        <w:bidi w:val="0"/>
        <w:spacing w:after="0"/>
        <w:ind w:right="827"/>
        <w:jc w:val="left"/>
        <w:rPr>
          <w:color w:val="0f243e"/>
          <w:sz w:val="24"/>
          <w:szCs w:val="24"/>
          <w:u w:color="0f243e"/>
          <w:rtl w:val="0"/>
          <w:lang w:val="it-IT"/>
        </w:rPr>
      </w:pPr>
      <w:r>
        <w:rPr>
          <w:color w:val="0f243e"/>
          <w:sz w:val="24"/>
          <w:szCs w:val="24"/>
          <w:u w:color="0f243e"/>
          <w:rtl w:val="0"/>
          <w:lang w:val="it-IT"/>
        </w:rPr>
        <w:t xml:space="preserve">Altri paesi europei hanno congelato il livello delle retribuzioni, in parte o totalmente,  per alcuni anni, per poi far riprendere la loro dinamica, compresi i Paesi che avevano scelto  di tagliare.  </w:t>
      </w:r>
      <w:r>
        <w:rPr>
          <w:color w:val="0f243e"/>
          <w:sz w:val="24"/>
          <w:szCs w:val="24"/>
          <w:u w:color="0f243e"/>
        </w:rPr>
        <w:br w:type="textWrapping"/>
      </w:r>
      <w:r>
        <w:rPr>
          <w:color w:val="0f243e"/>
          <w:sz w:val="24"/>
          <w:szCs w:val="24"/>
          <w:u w:color="0f243e"/>
          <w:rtl w:val="0"/>
          <w:lang w:val="it-IT"/>
        </w:rPr>
        <w:t xml:space="preserve">Un anno di blocco: </w:t>
      </w:r>
      <w:r>
        <w:rPr>
          <w:b w:val="1"/>
          <w:bCs w:val="1"/>
          <w:color w:val="0f243e"/>
          <w:sz w:val="24"/>
          <w:szCs w:val="24"/>
          <w:u w:color="0f243e"/>
          <w:rtl w:val="0"/>
          <w:lang w:val="it-IT"/>
        </w:rPr>
        <w:t>Estonia, Lettonia, Bulgaria, Slovacchia, Olanda</w:t>
      </w:r>
      <w:r>
        <w:rPr>
          <w:color w:val="0f243e"/>
          <w:sz w:val="24"/>
          <w:szCs w:val="24"/>
          <w:u w:color="0f243e"/>
        </w:rPr>
        <w:br w:type="textWrapping"/>
      </w:r>
      <w:r>
        <w:rPr>
          <w:color w:val="0f243e"/>
          <w:sz w:val="24"/>
          <w:szCs w:val="24"/>
          <w:u w:color="0f243e"/>
          <w:rtl w:val="0"/>
          <w:lang w:val="it-IT"/>
        </w:rPr>
        <w:t xml:space="preserve">Tre anni di blocco: </w:t>
      </w:r>
      <w:r>
        <w:rPr>
          <w:b w:val="1"/>
          <w:bCs w:val="1"/>
          <w:color w:val="0f243e"/>
          <w:sz w:val="24"/>
          <w:szCs w:val="24"/>
          <w:u w:color="0f243e"/>
          <w:rtl w:val="0"/>
          <w:lang w:val="it-IT"/>
        </w:rPr>
        <w:t>Portogallo, Irlanda, Lituania, Grecia</w:t>
      </w:r>
    </w:p>
    <w:p>
      <w:pPr>
        <w:pStyle w:val="Normale"/>
        <w:spacing w:after="0"/>
        <w:ind w:left="567" w:right="827" w:firstLine="0"/>
        <w:rPr>
          <w:color w:val="0f243e"/>
          <w:sz w:val="24"/>
          <w:szCs w:val="24"/>
          <w:u w:color="0f243e"/>
        </w:rPr>
      </w:pPr>
      <w:r>
        <w:rPr>
          <w:color w:val="0f243e"/>
          <w:sz w:val="24"/>
          <w:szCs w:val="24"/>
          <w:u w:color="0f243e"/>
          <w:rtl w:val="0"/>
          <w:lang w:val="it-IT"/>
        </w:rPr>
        <w:t>Due anni di blocco tutti gli altri</w:t>
      </w:r>
    </w:p>
    <w:p>
      <w:pPr>
        <w:pStyle w:val="Normale"/>
        <w:spacing w:after="0"/>
        <w:ind w:left="567" w:right="827" w:firstLine="0"/>
        <w:rPr>
          <w:color w:val="0f243e"/>
          <w:sz w:val="24"/>
          <w:szCs w:val="24"/>
          <w:u w:color="0f243e"/>
        </w:rPr>
      </w:pPr>
      <w:r>
        <w:rPr>
          <w:b w:val="1"/>
          <w:bCs w:val="1"/>
          <w:color w:val="0f243e"/>
          <w:sz w:val="24"/>
          <w:szCs w:val="24"/>
          <w:u w:color="0f243e"/>
          <w:rtl w:val="0"/>
          <w:lang w:val="it-IT"/>
        </w:rPr>
        <w:t>Bloccato ancora: Italia</w:t>
      </w:r>
      <w:r>
        <w:rPr>
          <w:color w:val="0f243e"/>
          <w:sz w:val="24"/>
          <w:szCs w:val="24"/>
          <w:u w:color="0f243e"/>
        </w:rPr>
        <w:br w:type="textWrapping"/>
        <w:br w:type="textWrapping"/>
      </w:r>
      <w:r>
        <w:rPr>
          <w:color w:val="0f243e"/>
          <w:sz w:val="24"/>
          <w:szCs w:val="24"/>
          <w:u w:color="0f243e"/>
          <w:rtl w:val="0"/>
          <w:lang w:val="it-IT"/>
        </w:rPr>
        <w:t xml:space="preserve">Solo in Italia continua ad essere operativo il blocco stabilito dal decreto legge 78/2010 del Governo Berlusconi,  rimasto vigente con i  successivi governi Monti, Letta, Renzi. </w:t>
      </w:r>
      <w:r>
        <w:rPr>
          <w:color w:val="0f243e"/>
          <w:sz w:val="24"/>
          <w:szCs w:val="24"/>
          <w:u w:color="0f243e"/>
        </w:rPr>
        <w:br w:type="textWrapping"/>
      </w:r>
      <w:r>
        <w:rPr>
          <w:color w:val="0f243e"/>
          <w:sz w:val="24"/>
          <w:szCs w:val="24"/>
          <w:u w:color="0f243e"/>
          <w:rtl w:val="0"/>
          <w:lang w:val="it-IT"/>
        </w:rPr>
        <w:t>Provvedimento che la Corte Costituzionale ha dichiarato illegittimo nel giugno 2015, non fissando per</w:t>
      </w:r>
      <w:r>
        <w:rPr>
          <w:color w:val="0f243e"/>
          <w:sz w:val="24"/>
          <w:szCs w:val="24"/>
          <w:u w:color="0f243e"/>
          <w:rtl w:val="0"/>
          <w:lang w:val="it-IT"/>
        </w:rPr>
        <w:t xml:space="preserve">ò </w:t>
      </w:r>
      <w:r>
        <w:rPr>
          <w:color w:val="0f243e"/>
          <w:sz w:val="24"/>
          <w:szCs w:val="24"/>
          <w:u w:color="0f243e"/>
          <w:rtl w:val="0"/>
          <w:lang w:val="it-IT"/>
        </w:rPr>
        <w:t>tempi per riaprire le contrattazioni per i rinnovi dei contratti di lavoro.</w:t>
      </w:r>
    </w:p>
    <w:p>
      <w:pPr>
        <w:pStyle w:val="Normale"/>
        <w:spacing w:after="0"/>
        <w:ind w:left="567" w:right="827" w:firstLine="0"/>
        <w:jc w:val="both"/>
        <w:rPr>
          <w:color w:val="0f243e"/>
          <w:sz w:val="24"/>
          <w:szCs w:val="24"/>
          <w:u w:color="0f243e"/>
        </w:rPr>
      </w:pPr>
    </w:p>
    <w:p>
      <w:pPr>
        <w:pStyle w:val="Normale"/>
        <w:spacing w:after="0"/>
        <w:ind w:left="567" w:right="827" w:firstLine="0"/>
        <w:jc w:val="both"/>
        <w:rPr>
          <w:color w:val="0f243e"/>
          <w:sz w:val="24"/>
          <w:szCs w:val="24"/>
          <w:u w:color="0f243e"/>
        </w:rPr>
      </w:pPr>
      <w:r>
        <w:rPr>
          <w:color w:val="0f243e"/>
          <w:sz w:val="24"/>
          <w:szCs w:val="24"/>
          <w:u w:color="0f243e"/>
          <w:rtl w:val="0"/>
          <w:lang w:val="it-IT"/>
        </w:rPr>
        <w:t>E</w:t>
      </w:r>
      <w:r>
        <w:rPr>
          <w:color w:val="0f243e"/>
          <w:sz w:val="24"/>
          <w:szCs w:val="24"/>
          <w:u w:color="0f243e"/>
          <w:rtl w:val="0"/>
          <w:lang w:val="it-IT"/>
        </w:rPr>
        <w:t xml:space="preserve">’ </w:t>
      </w:r>
      <w:r>
        <w:rPr>
          <w:color w:val="0f243e"/>
          <w:sz w:val="24"/>
          <w:szCs w:val="24"/>
          <w:u w:color="0f243e"/>
          <w:rtl w:val="0"/>
          <w:lang w:val="it-IT"/>
        </w:rPr>
        <w:t>singolare come si sia diffusa rapidamente in molti stati europei (ma per loro fortuna in molti sia rapidamente rientrata) questa tendenza a considerare gli stipendi del personale della scuola come una sorta di bancomat cui ricorrere in caso di necessit</w:t>
      </w:r>
      <w:r>
        <w:rPr>
          <w:color w:val="0f243e"/>
          <w:sz w:val="24"/>
          <w:szCs w:val="24"/>
          <w:u w:color="0f243e"/>
          <w:rtl w:val="0"/>
          <w:lang w:val="it-IT"/>
        </w:rPr>
        <w:t>à</w:t>
      </w:r>
      <w:r>
        <w:rPr>
          <w:color w:val="0f243e"/>
          <w:sz w:val="24"/>
          <w:szCs w:val="24"/>
          <w:u w:color="0f243e"/>
          <w:rtl w:val="0"/>
          <w:lang w:val="it-IT"/>
        </w:rPr>
        <w:t>, il che la dice lunga sull</w:t>
      </w:r>
      <w:r>
        <w:rPr>
          <w:color w:val="0f243e"/>
          <w:sz w:val="24"/>
          <w:szCs w:val="24"/>
          <w:u w:color="0f243e"/>
          <w:rtl w:val="0"/>
          <w:lang w:val="it-IT"/>
        </w:rPr>
        <w:t>’</w:t>
      </w:r>
      <w:r>
        <w:rPr>
          <w:color w:val="0f243e"/>
          <w:sz w:val="24"/>
          <w:szCs w:val="24"/>
          <w:u w:color="0f243e"/>
          <w:rtl w:val="0"/>
          <w:lang w:val="it-IT"/>
        </w:rPr>
        <w:t xml:space="preserve">ideologia implicita, dominante in questa Unione Europea che fino a qualche anno fa proclamava a gran voce di voler diventare </w:t>
      </w:r>
      <w:r>
        <w:rPr>
          <w:color w:val="0f243e"/>
          <w:sz w:val="24"/>
          <w:szCs w:val="24"/>
          <w:u w:color="0f243e"/>
          <w:rtl w:val="0"/>
          <w:lang w:val="it-IT"/>
        </w:rPr>
        <w:t>“</w:t>
      </w:r>
      <w:r>
        <w:rPr>
          <w:color w:val="0f243e"/>
          <w:sz w:val="24"/>
          <w:szCs w:val="24"/>
          <w:u w:color="0f243e"/>
          <w:rtl w:val="0"/>
          <w:lang w:val="it-IT"/>
        </w:rPr>
        <w:t>l</w:t>
      </w:r>
      <w:r>
        <w:rPr>
          <w:color w:val="0f243e"/>
          <w:sz w:val="24"/>
          <w:szCs w:val="24"/>
          <w:u w:color="0f243e"/>
          <w:rtl w:val="0"/>
          <w:lang w:val="it-IT"/>
        </w:rPr>
        <w:t>’</w:t>
      </w:r>
      <w:r>
        <w:rPr>
          <w:color w:val="0f243e"/>
          <w:sz w:val="24"/>
          <w:szCs w:val="24"/>
          <w:u w:color="0f243e"/>
          <w:rtl w:val="0"/>
          <w:lang w:val="it-IT"/>
        </w:rPr>
        <w:t>economia basata sulla conoscenza pi</w:t>
      </w:r>
      <w:r>
        <w:rPr>
          <w:color w:val="0f243e"/>
          <w:sz w:val="24"/>
          <w:szCs w:val="24"/>
          <w:u w:color="0f243e"/>
          <w:rtl w:val="0"/>
          <w:lang w:val="it-IT"/>
        </w:rPr>
        <w:t xml:space="preserve">ù </w:t>
      </w:r>
      <w:r>
        <w:rPr>
          <w:color w:val="0f243e"/>
          <w:sz w:val="24"/>
          <w:szCs w:val="24"/>
          <w:u w:color="0f243e"/>
          <w:rtl w:val="0"/>
          <w:lang w:val="it-IT"/>
        </w:rPr>
        <w:t>competitiva e dinamica del mondo</w:t>
      </w:r>
      <w:r>
        <w:rPr>
          <w:color w:val="0f243e"/>
          <w:sz w:val="24"/>
          <w:szCs w:val="24"/>
          <w:u w:color="0f243e"/>
          <w:rtl w:val="0"/>
          <w:lang w:val="it-IT"/>
        </w:rPr>
        <w:t xml:space="preserve">” </w:t>
      </w:r>
      <w:r>
        <w:rPr>
          <w:color w:val="0f243e"/>
          <w:sz w:val="24"/>
          <w:szCs w:val="24"/>
          <w:u w:color="0f243e"/>
          <w:rtl w:val="0"/>
          <w:lang w:val="it-IT"/>
        </w:rPr>
        <w:t>(Consiglio europeo, decisione sulla strategia di Lisbona) e solo due anni fa Tibor Navracsics, Commissario europeo per l</w:t>
      </w:r>
      <w:r>
        <w:rPr>
          <w:color w:val="0f243e"/>
          <w:sz w:val="24"/>
          <w:szCs w:val="24"/>
          <w:u w:color="0f243e"/>
          <w:rtl w:val="0"/>
          <w:lang w:val="it-IT"/>
        </w:rPr>
        <w:t>’</w:t>
      </w:r>
      <w:r>
        <w:rPr>
          <w:color w:val="0f243e"/>
          <w:sz w:val="24"/>
          <w:szCs w:val="24"/>
          <w:u w:color="0f243e"/>
          <w:rtl w:val="0"/>
          <w:lang w:val="it-IT"/>
        </w:rPr>
        <w:t>istruzione, la cultura, la giovent</w:t>
      </w:r>
      <w:r>
        <w:rPr>
          <w:color w:val="0f243e"/>
          <w:sz w:val="24"/>
          <w:szCs w:val="24"/>
          <w:u w:color="0f243e"/>
          <w:rtl w:val="0"/>
          <w:lang w:val="it-IT"/>
        </w:rPr>
        <w:t xml:space="preserve">ù </w:t>
      </w:r>
      <w:r>
        <w:rPr>
          <w:color w:val="0f243e"/>
          <w:sz w:val="24"/>
          <w:szCs w:val="24"/>
          <w:u w:color="0f243e"/>
          <w:rtl w:val="0"/>
          <w:lang w:val="it-IT"/>
        </w:rPr>
        <w:t xml:space="preserve">e lo sport, affermava: </w:t>
      </w:r>
      <w:r>
        <w:rPr>
          <w:color w:val="0f243e"/>
          <w:sz w:val="24"/>
          <w:szCs w:val="24"/>
          <w:u w:color="0f243e"/>
          <w:rtl w:val="0"/>
          <w:lang w:val="it-IT"/>
        </w:rPr>
        <w:t>“</w:t>
      </w:r>
      <w:r>
        <w:rPr>
          <w:color w:val="0f243e"/>
          <w:sz w:val="24"/>
          <w:szCs w:val="24"/>
          <w:u w:color="0f243e"/>
          <w:rtl w:val="0"/>
          <w:lang w:val="it-IT"/>
        </w:rPr>
        <w:t>In un periodo di cambiamento, l</w:t>
      </w:r>
      <w:r>
        <w:rPr>
          <w:color w:val="0f243e"/>
          <w:sz w:val="24"/>
          <w:szCs w:val="24"/>
          <w:u w:color="0f243e"/>
          <w:rtl w:val="0"/>
          <w:lang w:val="it-IT"/>
        </w:rPr>
        <w:t>’</w:t>
      </w:r>
      <w:r>
        <w:rPr>
          <w:color w:val="0f243e"/>
          <w:sz w:val="24"/>
          <w:szCs w:val="24"/>
          <w:u w:color="0f243e"/>
          <w:rtl w:val="0"/>
          <w:lang w:val="it-IT"/>
        </w:rPr>
        <w:t>istruzione rappresenta il fattore decisivo a lungo termine</w:t>
      </w:r>
      <w:r>
        <w:rPr>
          <w:color w:val="0f243e"/>
          <w:sz w:val="24"/>
          <w:szCs w:val="24"/>
          <w:u w:color="0f243e"/>
          <w:rtl w:val="0"/>
          <w:lang w:val="it-IT"/>
        </w:rPr>
        <w:t>”</w:t>
      </w:r>
      <w:r>
        <w:rPr>
          <w:color w:val="0f243e"/>
          <w:sz w:val="24"/>
          <w:szCs w:val="24"/>
          <w:u w:color="0f243e"/>
          <w:rtl w:val="0"/>
          <w:lang w:val="it-IT"/>
        </w:rPr>
        <w:t xml:space="preserve">. </w:t>
      </w:r>
      <w:r>
        <w:rPr>
          <w:color w:val="0f243e"/>
          <w:sz w:val="24"/>
          <w:szCs w:val="24"/>
          <w:u w:color="0f243e"/>
          <w:rtl w:val="0"/>
          <w:lang w:val="en-US"/>
        </w:rPr>
        <w:t xml:space="preserve">(Prefazione a </w:t>
      </w:r>
      <w:r>
        <w:rPr>
          <w:i w:val="1"/>
          <w:iCs w:val="1"/>
          <w:color w:val="0f243e"/>
          <w:sz w:val="24"/>
          <w:szCs w:val="24"/>
          <w:u w:color="0f243e"/>
          <w:rtl w:val="0"/>
          <w:lang w:val="en-US"/>
        </w:rPr>
        <w:t>The Teaching Profession in Europe: Practices, Perceptions, and Policies</w:t>
      </w:r>
      <w:r>
        <w:rPr>
          <w:color w:val="0f243e"/>
          <w:sz w:val="24"/>
          <w:szCs w:val="24"/>
          <w:u w:color="0f243e"/>
          <w:rtl w:val="0"/>
          <w:lang w:val="en-US"/>
        </w:rPr>
        <w:t>, giugno 2015).</w:t>
      </w:r>
    </w:p>
    <w:p>
      <w:pPr>
        <w:pStyle w:val="Normale"/>
        <w:spacing w:after="0"/>
        <w:ind w:left="567" w:right="827" w:firstLine="0"/>
        <w:jc w:val="both"/>
        <w:rPr>
          <w:color w:val="0f243e"/>
          <w:sz w:val="24"/>
          <w:szCs w:val="24"/>
          <w:u w:color="0f243e"/>
          <w:lang w:val="en-US"/>
        </w:rPr>
      </w:pPr>
    </w:p>
    <w:p>
      <w:pPr>
        <w:pStyle w:val="Normale"/>
        <w:spacing w:after="0"/>
        <w:ind w:left="567" w:right="827" w:firstLine="0"/>
        <w:jc w:val="both"/>
        <w:rPr>
          <w:color w:val="0f243e"/>
          <w:sz w:val="24"/>
          <w:szCs w:val="24"/>
          <w:u w:color="0f243e"/>
          <w:lang w:val="en-US"/>
        </w:rPr>
      </w:pPr>
    </w:p>
    <w:p>
      <w:pPr>
        <w:pStyle w:val="Normale"/>
        <w:spacing w:after="0"/>
        <w:jc w:val="center"/>
        <w:rPr>
          <w:color w:val="0f243e"/>
          <w:sz w:val="40"/>
          <w:szCs w:val="40"/>
          <w:u w:color="0f243e"/>
        </w:rPr>
      </w:pPr>
      <w:r>
        <w:rPr>
          <w:color w:val="0f243e"/>
          <w:sz w:val="40"/>
          <w:szCs w:val="40"/>
          <w:u w:color="0f243e"/>
          <w:rtl w:val="0"/>
          <w:lang w:val="it-IT"/>
        </w:rPr>
        <w:t xml:space="preserve">Variazione delle retribuzioni del personale </w:t>
      </w:r>
      <w:r>
        <w:rPr>
          <w:color w:val="0f243e"/>
          <w:sz w:val="40"/>
          <w:szCs w:val="40"/>
          <w:u w:color="0f243e"/>
        </w:rPr>
        <w:br w:type="textWrapping"/>
      </w:r>
      <w:r>
        <w:rPr>
          <w:color w:val="0f243e"/>
          <w:sz w:val="40"/>
          <w:szCs w:val="40"/>
          <w:u w:color="0f243e"/>
          <w:rtl w:val="0"/>
          <w:lang w:val="it-IT"/>
        </w:rPr>
        <w:t>della scuola pubblica in Europa 2011 - 2016</w:t>
      </w:r>
    </w:p>
    <w:p>
      <w:pPr>
        <w:pStyle w:val="Normale"/>
        <w:spacing w:after="0"/>
        <w:jc w:val="right"/>
      </w:pPr>
    </w:p>
    <w:p>
      <w:pPr>
        <w:pStyle w:val="Normale"/>
        <w:spacing w:after="0"/>
        <w:jc w:val="right"/>
      </w:pPr>
    </w:p>
    <w:tbl>
      <w:tblPr>
        <w:tblW w:w="10614" w:type="dxa"/>
        <w:jc w:val="righ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948"/>
        <w:gridCol w:w="5666"/>
      </w:tblGrid>
      <w:tr>
        <w:tblPrEx>
          <w:shd w:val="clear" w:color="auto" w:fill="ced7e7"/>
        </w:tblPrEx>
        <w:trPr>
          <w:trHeight w:val="250" w:hRule="atLeast"/>
        </w:trPr>
        <w:tc>
          <w:tcPr>
            <w:tcW w:type="dxa" w:w="49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6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420" w:hRule="atLeast"/>
        </w:trPr>
        <w:tc>
          <w:tcPr>
            <w:tcW w:type="dxa" w:w="49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0"/>
              <w:jc w:val="center"/>
            </w:pPr>
            <w:r>
              <w:drawing>
                <wp:inline distT="0" distB="0" distL="0" distR="0">
                  <wp:extent cx="3142297" cy="2463916"/>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salari congelati2013-14.jpg"/>
                          <pic:cNvPicPr>
                            <a:picLocks noChangeAspect="1"/>
                          </pic:cNvPicPr>
                        </pic:nvPicPr>
                        <pic:blipFill>
                          <a:blip r:embed="rId5">
                            <a:extLst/>
                          </a:blip>
                          <a:stretch>
                            <a:fillRect/>
                          </a:stretch>
                        </pic:blipFill>
                        <pic:spPr>
                          <a:xfrm>
                            <a:off x="0" y="0"/>
                            <a:ext cx="3142297" cy="2463916"/>
                          </a:xfrm>
                          <a:prstGeom prst="rect">
                            <a:avLst/>
                          </a:prstGeom>
                          <a:ln w="12700" cap="flat">
                            <a:noFill/>
                            <a:miter lim="400000"/>
                          </a:ln>
                          <a:effectLst/>
                        </pic:spPr>
                      </pic:pic>
                    </a:graphicData>
                  </a:graphic>
                </wp:inline>
              </w:drawing>
            </w:r>
          </w:p>
        </w:tc>
        <w:tc>
          <w:tcPr>
            <w:tcW w:type="dxa" w:w="56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0"/>
              <w:jc w:val="center"/>
            </w:pPr>
            <w:r>
              <w:drawing>
                <wp:inline distT="0" distB="0" distL="0" distR="0">
                  <wp:extent cx="3597594" cy="2857382"/>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salari 15-16.jpg"/>
                          <pic:cNvPicPr>
                            <a:picLocks noChangeAspect="1"/>
                          </pic:cNvPicPr>
                        </pic:nvPicPr>
                        <pic:blipFill>
                          <a:blip r:embed="rId6">
                            <a:extLst/>
                          </a:blip>
                          <a:stretch>
                            <a:fillRect/>
                          </a:stretch>
                        </pic:blipFill>
                        <pic:spPr>
                          <a:xfrm>
                            <a:off x="0" y="0"/>
                            <a:ext cx="3597594" cy="2857382"/>
                          </a:xfrm>
                          <a:prstGeom prst="rect">
                            <a:avLst/>
                          </a:prstGeom>
                          <a:ln w="12700" cap="flat">
                            <a:noFill/>
                            <a:miter lim="400000"/>
                          </a:ln>
                          <a:effectLst/>
                        </pic:spPr>
                      </pic:pic>
                    </a:graphicData>
                  </a:graphic>
                </wp:inline>
              </w:drawing>
            </w:r>
          </w:p>
        </w:tc>
      </w:tr>
    </w:tbl>
    <w:p>
      <w:pPr>
        <w:pStyle w:val="Normale"/>
        <w:widowControl w:val="0"/>
        <w:spacing w:after="0" w:line="240" w:lineRule="auto"/>
        <w:jc w:val="right"/>
      </w:pPr>
    </w:p>
    <w:p>
      <w:pPr>
        <w:pStyle w:val="Normale"/>
        <w:spacing w:after="0"/>
        <w:jc w:val="center"/>
        <w:rPr>
          <w:color w:val="0f243e"/>
          <w:sz w:val="40"/>
          <w:szCs w:val="40"/>
          <w:u w:color="0f243e"/>
        </w:rPr>
      </w:pPr>
      <w:r>
        <w:rPr>
          <w:b w:val="1"/>
          <w:bCs w:val="1"/>
          <w:color w:val="0f243e"/>
          <w:sz w:val="40"/>
          <w:szCs w:val="40"/>
          <w:u w:color="0f243e"/>
          <w:rtl w:val="0"/>
          <w:lang w:val="it-IT"/>
        </w:rPr>
        <w:t>PIL e spese per l</w:t>
      </w:r>
      <w:r>
        <w:rPr>
          <w:b w:val="1"/>
          <w:bCs w:val="1"/>
          <w:color w:val="0f243e"/>
          <w:sz w:val="40"/>
          <w:szCs w:val="40"/>
          <w:u w:color="0f243e"/>
          <w:rtl w:val="0"/>
          <w:lang w:val="it-IT"/>
        </w:rPr>
        <w:t>’</w:t>
      </w:r>
      <w:r>
        <w:rPr>
          <w:b w:val="1"/>
          <w:bCs w:val="1"/>
          <w:color w:val="0f243e"/>
          <w:sz w:val="40"/>
          <w:szCs w:val="40"/>
          <w:u w:color="0f243e"/>
          <w:rtl w:val="0"/>
          <w:lang w:val="it-IT"/>
        </w:rPr>
        <w:t>istruzione</w:t>
      </w:r>
    </w:p>
    <w:p>
      <w:pPr>
        <w:pStyle w:val="Normale"/>
        <w:spacing w:after="0" w:line="240" w:lineRule="auto"/>
        <w:jc w:val="both"/>
        <w:rPr>
          <w:sz w:val="24"/>
          <w:szCs w:val="24"/>
        </w:rPr>
      </w:pPr>
    </w:p>
    <w:p>
      <w:pPr>
        <w:pStyle w:val="Normale"/>
        <w:spacing w:after="0" w:line="240" w:lineRule="auto"/>
        <w:jc w:val="both"/>
        <w:rPr>
          <w:color w:val="0f243e"/>
          <w:sz w:val="24"/>
          <w:szCs w:val="24"/>
          <w:u w:color="0f243e"/>
        </w:rPr>
      </w:pPr>
      <w:r>
        <w:rPr>
          <w:color w:val="0f243e"/>
          <w:sz w:val="24"/>
          <w:szCs w:val="24"/>
          <w:u w:color="0f243e"/>
          <w:rtl w:val="0"/>
          <w:lang w:val="it-IT"/>
        </w:rPr>
        <w:t>A quanto ammontano le spese pubbliche per l</w:t>
      </w:r>
      <w:r>
        <w:rPr>
          <w:color w:val="0f243e"/>
          <w:sz w:val="24"/>
          <w:szCs w:val="24"/>
          <w:u w:color="0f243e"/>
          <w:rtl w:val="0"/>
          <w:lang w:val="it-IT"/>
        </w:rPr>
        <w:t>’</w:t>
      </w:r>
      <w:r>
        <w:rPr>
          <w:color w:val="0f243e"/>
          <w:sz w:val="24"/>
          <w:szCs w:val="24"/>
          <w:u w:color="0f243e"/>
          <w:rtl w:val="0"/>
          <w:lang w:val="it-IT"/>
        </w:rPr>
        <w:t>istruzione nei Paesi dell</w:t>
      </w:r>
      <w:r>
        <w:rPr>
          <w:color w:val="0f243e"/>
          <w:sz w:val="24"/>
          <w:szCs w:val="24"/>
          <w:u w:color="0f243e"/>
          <w:rtl w:val="0"/>
          <w:lang w:val="it-IT"/>
        </w:rPr>
        <w:t>’</w:t>
      </w:r>
      <w:r>
        <w:rPr>
          <w:color w:val="0f243e"/>
          <w:sz w:val="24"/>
          <w:szCs w:val="24"/>
          <w:u w:color="0f243e"/>
          <w:rtl w:val="0"/>
          <w:lang w:val="it-IT"/>
        </w:rPr>
        <w:t xml:space="preserve">Unione Europea? </w:t>
      </w:r>
      <w:r>
        <w:rPr>
          <w:color w:val="0f243e"/>
          <w:sz w:val="24"/>
          <w:szCs w:val="24"/>
          <w:u w:color="0f243e"/>
        </w:rPr>
        <w:br w:type="textWrapping"/>
      </w:r>
      <w:r>
        <w:rPr>
          <w:color w:val="0f243e"/>
          <w:sz w:val="24"/>
          <w:szCs w:val="24"/>
          <w:u w:color="0f243e"/>
          <w:rtl w:val="0"/>
          <w:lang w:val="it-IT"/>
        </w:rPr>
        <w:t>Eurostat ci fornisce l</w:t>
      </w:r>
      <w:r>
        <w:rPr>
          <w:color w:val="0f243e"/>
          <w:sz w:val="24"/>
          <w:szCs w:val="24"/>
          <w:u w:color="0f243e"/>
          <w:rtl w:val="0"/>
          <w:lang w:val="it-IT"/>
        </w:rPr>
        <w:t>’</w:t>
      </w:r>
      <w:r>
        <w:rPr>
          <w:color w:val="0f243e"/>
          <w:sz w:val="24"/>
          <w:szCs w:val="24"/>
          <w:u w:color="0f243e"/>
          <w:rtl w:val="0"/>
          <w:lang w:val="it-IT"/>
        </w:rPr>
        <w:t>andamento annuale, come riportato nella tabella che segue.</w:t>
      </w:r>
    </w:p>
    <w:p>
      <w:pPr>
        <w:pStyle w:val="Normale"/>
        <w:spacing w:after="0" w:line="240" w:lineRule="auto"/>
        <w:jc w:val="both"/>
        <w:rPr>
          <w:color w:val="0f243e"/>
          <w:sz w:val="24"/>
          <w:szCs w:val="24"/>
          <w:u w:color="0f243e"/>
        </w:rPr>
      </w:pPr>
      <w:r>
        <w:rPr>
          <w:color w:val="0f243e"/>
          <w:sz w:val="24"/>
          <w:szCs w:val="24"/>
          <w:u w:color="0f243e"/>
          <w:rtl w:val="0"/>
          <w:lang w:val="it-IT"/>
        </w:rPr>
        <w:t xml:space="preserve">Pur considerando che il valore di 1 punto di PIL </w:t>
      </w:r>
      <w:r>
        <w:rPr>
          <w:color w:val="0f243e"/>
          <w:sz w:val="24"/>
          <w:szCs w:val="24"/>
          <w:u w:color="0f243e"/>
          <w:rtl w:val="0"/>
          <w:lang w:val="it-IT"/>
        </w:rPr>
        <w:t xml:space="preserve">è </w:t>
      </w:r>
      <w:r>
        <w:rPr>
          <w:color w:val="0f243e"/>
          <w:sz w:val="24"/>
          <w:szCs w:val="24"/>
          <w:u w:color="0f243e"/>
          <w:rtl w:val="0"/>
          <w:lang w:val="it-IT"/>
        </w:rPr>
        <w:t>diverso in ogni Stato, dipendendo dall</w:t>
      </w:r>
      <w:r>
        <w:rPr>
          <w:color w:val="0f243e"/>
          <w:sz w:val="24"/>
          <w:szCs w:val="24"/>
          <w:u w:color="0f243e"/>
          <w:rtl w:val="0"/>
          <w:lang w:val="it-IT"/>
        </w:rPr>
        <w:t>’</w:t>
      </w:r>
      <w:r>
        <w:rPr>
          <w:color w:val="0f243e"/>
          <w:sz w:val="24"/>
          <w:szCs w:val="24"/>
          <w:u w:color="0f243e"/>
          <w:rtl w:val="0"/>
          <w:lang w:val="it-IT"/>
        </w:rPr>
        <w:t>ammontare complessivo dello stesso (ad esempio, per l</w:t>
      </w:r>
      <w:r>
        <w:rPr>
          <w:color w:val="0f243e"/>
          <w:sz w:val="24"/>
          <w:szCs w:val="24"/>
          <w:u w:color="0f243e"/>
          <w:rtl w:val="0"/>
          <w:lang w:val="it-IT"/>
        </w:rPr>
        <w:t>’</w:t>
      </w:r>
      <w:r>
        <w:rPr>
          <w:color w:val="0f243e"/>
          <w:sz w:val="24"/>
          <w:szCs w:val="24"/>
          <w:u w:color="0f243e"/>
          <w:rtl w:val="0"/>
          <w:lang w:val="it-IT"/>
        </w:rPr>
        <w:t xml:space="preserve">Italia 1 punto </w:t>
      </w:r>
      <w:r>
        <w:rPr>
          <w:color w:val="0f243e"/>
          <w:sz w:val="24"/>
          <w:szCs w:val="24"/>
          <w:u w:color="0f243e"/>
          <w:rtl w:val="0"/>
          <w:lang w:val="it-IT"/>
        </w:rPr>
        <w:t>“</w:t>
      </w:r>
      <w:r>
        <w:rPr>
          <w:color w:val="0f243e"/>
          <w:sz w:val="24"/>
          <w:szCs w:val="24"/>
          <w:u w:color="0f243e"/>
          <w:rtl w:val="0"/>
          <w:lang w:val="it-IT"/>
        </w:rPr>
        <w:t>vale</w:t>
      </w:r>
      <w:r>
        <w:rPr>
          <w:color w:val="0f243e"/>
          <w:sz w:val="24"/>
          <w:szCs w:val="24"/>
          <w:u w:color="0f243e"/>
          <w:rtl w:val="0"/>
          <w:lang w:val="it-IT"/>
        </w:rPr>
        <w:t xml:space="preserve">” </w:t>
      </w:r>
      <w:r>
        <w:rPr>
          <w:color w:val="0f243e"/>
          <w:sz w:val="24"/>
          <w:szCs w:val="24"/>
          <w:u w:color="0f243e"/>
          <w:rtl w:val="0"/>
          <w:lang w:val="it-IT"/>
        </w:rPr>
        <w:t xml:space="preserve">circa 16 miliardi di </w:t>
      </w:r>
      <w:r>
        <w:rPr>
          <w:color w:val="0f243e"/>
          <w:sz w:val="24"/>
          <w:szCs w:val="24"/>
          <w:u w:color="0f243e"/>
          <w:rtl w:val="0"/>
          <w:lang w:val="it-IT"/>
        </w:rPr>
        <w:t>€</w:t>
      </w:r>
      <w:r>
        <w:rPr>
          <w:color w:val="0f243e"/>
          <w:sz w:val="24"/>
          <w:szCs w:val="24"/>
          <w:u w:color="0f243e"/>
          <w:rtl w:val="0"/>
          <w:lang w:val="it-IT"/>
        </w:rPr>
        <w:t>, per la Francia circa 21, per la Germania circa 29),  la cifra riportata ben rappresenta quanta della ricchezza nazionale i decisori politici dedicano ad investire sull</w:t>
      </w:r>
      <w:r>
        <w:rPr>
          <w:color w:val="0f243e"/>
          <w:sz w:val="24"/>
          <w:szCs w:val="24"/>
          <w:u w:color="0f243e"/>
          <w:rtl w:val="0"/>
          <w:lang w:val="it-IT"/>
        </w:rPr>
        <w:t>’</w:t>
      </w:r>
      <w:r>
        <w:rPr>
          <w:color w:val="0f243e"/>
          <w:sz w:val="24"/>
          <w:szCs w:val="24"/>
          <w:u w:color="0f243e"/>
          <w:rtl w:val="0"/>
          <w:lang w:val="it-IT"/>
        </w:rPr>
        <w:t xml:space="preserve">istruzione. </w:t>
      </w:r>
    </w:p>
    <w:p>
      <w:pPr>
        <w:pStyle w:val="Normale"/>
        <w:spacing w:after="0" w:line="240" w:lineRule="auto"/>
        <w:rPr>
          <w:color w:val="0f243e"/>
          <w:u w:color="0f243e"/>
        </w:rPr>
      </w:pPr>
    </w:p>
    <w:tbl>
      <w:tblPr>
        <w:tblW w:w="10145" w:type="dxa"/>
        <w:jc w:val="center"/>
        <w:tblInd w:w="1029"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277"/>
        <w:gridCol w:w="716"/>
        <w:gridCol w:w="716"/>
        <w:gridCol w:w="716"/>
        <w:gridCol w:w="715"/>
        <w:gridCol w:w="715"/>
        <w:gridCol w:w="715"/>
        <w:gridCol w:w="715"/>
        <w:gridCol w:w="715"/>
        <w:gridCol w:w="715"/>
        <w:gridCol w:w="715"/>
        <w:gridCol w:w="715"/>
      </w:tblGrid>
      <w:tr>
        <w:tblPrEx>
          <w:shd w:val="clear" w:color="auto" w:fill="ced7e7"/>
        </w:tblPrEx>
        <w:trPr>
          <w:trHeight w:val="860" w:hRule="atLeast"/>
        </w:trPr>
        <w:tc>
          <w:tcPr>
            <w:tcW w:type="dxa" w:w="10145"/>
            <w:gridSpan w:val="12"/>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center"/>
            </w:pPr>
            <w:r>
              <w:rPr>
                <w:b w:val="1"/>
                <w:bCs w:val="1"/>
                <w:color w:val="0f243e"/>
                <w:sz w:val="36"/>
                <w:szCs w:val="36"/>
                <w:u w:color="0f243e"/>
                <w:rtl w:val="0"/>
                <w:lang w:val="it-IT"/>
              </w:rPr>
              <w:t>Spese pubbliche per l'istruzione in % sul PIL 2004 - 2014</w:t>
            </w:r>
          </w:p>
        </w:tc>
      </w:tr>
      <w:tr>
        <w:tblPrEx>
          <w:shd w:val="clear" w:color="auto" w:fill="ced7e7"/>
        </w:tblPrEx>
        <w:trPr>
          <w:trHeight w:val="660" w:hRule="atLeast"/>
        </w:trPr>
        <w:tc>
          <w:tcPr>
            <w:tcW w:type="dxa" w:w="10145"/>
            <w:gridSpan w:val="12"/>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center"/>
            </w:pPr>
            <w:r>
              <w:rPr>
                <w:color w:val="0f243e"/>
                <w:sz w:val="28"/>
                <w:szCs w:val="28"/>
                <w:u w:color="0f243e"/>
                <w:rtl w:val="0"/>
                <w:lang w:val="it-IT"/>
              </w:rPr>
              <w:t xml:space="preserve">Fonte: Eurostat (http://ec.europa.eu/eurostat/data/database) </w:t>
            </w:r>
            <w:r>
              <w:rPr>
                <w:color w:val="0f243e"/>
                <w:sz w:val="28"/>
                <w:szCs w:val="28"/>
                <w:u w:color="0f243e"/>
                <w:lang w:val="it-IT"/>
              </w:rPr>
              <w:br w:type="textWrapping"/>
            </w:r>
            <w:r>
              <w:rPr>
                <w:color w:val="0f243e"/>
                <w:sz w:val="28"/>
                <w:szCs w:val="28"/>
                <w:u w:color="0f243e"/>
                <w:rtl w:val="0"/>
                <w:lang w:val="it-IT"/>
              </w:rPr>
              <w:t>ultimo aggiornamento 09/02/2017</w:t>
            </w:r>
          </w:p>
        </w:tc>
      </w:tr>
      <w:tr>
        <w:tblPrEx>
          <w:shd w:val="clear" w:color="auto" w:fill="ced7e7"/>
        </w:tblPrEx>
        <w:trPr>
          <w:trHeight w:val="255" w:hRule="atLeast"/>
        </w:trPr>
        <w:tc>
          <w:tcPr>
            <w:tcW w:type="dxa" w:w="2277"/>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716"/>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716"/>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716"/>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715"/>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715"/>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715"/>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715"/>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715"/>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715"/>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715"/>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715"/>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r>
      <w:tr>
        <w:tblPrEx>
          <w:shd w:val="clear" w:color="auto" w:fill="ced7e7"/>
        </w:tblPrEx>
        <w:trPr>
          <w:trHeight w:val="230" w:hRule="atLeast"/>
        </w:trPr>
        <w:tc>
          <w:tcPr>
            <w:tcW w:type="dxa" w:w="2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center"/>
            </w:pPr>
            <w:r>
              <w:rPr>
                <w:b w:val="1"/>
                <w:bCs w:val="1"/>
                <w:color w:val="0f243e"/>
                <w:sz w:val="20"/>
                <w:szCs w:val="20"/>
                <w:u w:color="0f243e"/>
                <w:rtl w:val="0"/>
                <w:lang w:val="it-IT"/>
              </w:rPr>
              <w:t> </w:t>
            </w:r>
          </w:p>
        </w:tc>
        <w:tc>
          <w:tcPr>
            <w:tcW w:type="dxa" w:w="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center"/>
            </w:pPr>
            <w:r>
              <w:rPr>
                <w:color w:val="0f243e"/>
                <w:sz w:val="20"/>
                <w:szCs w:val="20"/>
                <w:u w:color="0f243e"/>
                <w:rtl w:val="0"/>
                <w:lang w:val="it-IT"/>
              </w:rPr>
              <w:t>2004</w:t>
            </w:r>
          </w:p>
        </w:tc>
        <w:tc>
          <w:tcPr>
            <w:tcW w:type="dxa" w:w="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center"/>
            </w:pPr>
            <w:r>
              <w:rPr>
                <w:color w:val="0f243e"/>
                <w:sz w:val="20"/>
                <w:szCs w:val="20"/>
                <w:u w:color="0f243e"/>
                <w:rtl w:val="0"/>
                <w:lang w:val="it-IT"/>
              </w:rPr>
              <w:t>2005</w:t>
            </w:r>
          </w:p>
        </w:tc>
        <w:tc>
          <w:tcPr>
            <w:tcW w:type="dxa" w:w="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center"/>
            </w:pPr>
            <w:r>
              <w:rPr>
                <w:color w:val="0f243e"/>
                <w:sz w:val="20"/>
                <w:szCs w:val="20"/>
                <w:u w:color="0f243e"/>
                <w:rtl w:val="0"/>
                <w:lang w:val="it-IT"/>
              </w:rPr>
              <w:t>2006</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center"/>
            </w:pPr>
            <w:r>
              <w:rPr>
                <w:color w:val="0f243e"/>
                <w:sz w:val="20"/>
                <w:szCs w:val="20"/>
                <w:u w:color="0f243e"/>
                <w:rtl w:val="0"/>
                <w:lang w:val="it-IT"/>
              </w:rPr>
              <w:t>2007</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center"/>
            </w:pPr>
            <w:r>
              <w:rPr>
                <w:color w:val="0f243e"/>
                <w:sz w:val="20"/>
                <w:szCs w:val="20"/>
                <w:u w:color="0f243e"/>
                <w:rtl w:val="0"/>
                <w:lang w:val="it-IT"/>
              </w:rPr>
              <w:t>2008</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center"/>
            </w:pPr>
            <w:r>
              <w:rPr>
                <w:color w:val="0f243e"/>
                <w:sz w:val="20"/>
                <w:szCs w:val="20"/>
                <w:u w:color="0f243e"/>
                <w:rtl w:val="0"/>
                <w:lang w:val="it-IT"/>
              </w:rPr>
              <w:t>2009</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center"/>
            </w:pPr>
            <w:r>
              <w:rPr>
                <w:color w:val="0f243e"/>
                <w:sz w:val="20"/>
                <w:szCs w:val="20"/>
                <w:u w:color="0f243e"/>
                <w:rtl w:val="0"/>
                <w:lang w:val="it-IT"/>
              </w:rPr>
              <w:t>2010</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center"/>
            </w:pPr>
            <w:r>
              <w:rPr>
                <w:color w:val="0f243e"/>
                <w:sz w:val="20"/>
                <w:szCs w:val="20"/>
                <w:u w:color="0f243e"/>
                <w:rtl w:val="0"/>
                <w:lang w:val="it-IT"/>
              </w:rPr>
              <w:t>2011</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center"/>
            </w:pPr>
            <w:r>
              <w:rPr>
                <w:color w:val="0f243e"/>
                <w:sz w:val="20"/>
                <w:szCs w:val="20"/>
                <w:u w:color="0f243e"/>
                <w:rtl w:val="0"/>
                <w:lang w:val="it-IT"/>
              </w:rPr>
              <w:t>2012</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center"/>
            </w:pPr>
            <w:r>
              <w:rPr>
                <w:color w:val="0f243e"/>
                <w:sz w:val="20"/>
                <w:szCs w:val="20"/>
                <w:u w:color="0f243e"/>
                <w:rtl w:val="0"/>
                <w:lang w:val="it-IT"/>
              </w:rPr>
              <w:t>2013</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center"/>
            </w:pPr>
            <w:r>
              <w:rPr>
                <w:color w:val="0f243e"/>
                <w:sz w:val="20"/>
                <w:szCs w:val="20"/>
                <w:u w:color="0f243e"/>
                <w:rtl w:val="0"/>
                <w:lang w:val="it-IT"/>
              </w:rPr>
              <w:t>2014</w:t>
            </w:r>
          </w:p>
        </w:tc>
      </w:tr>
      <w:tr>
        <w:tblPrEx>
          <w:shd w:val="clear" w:color="auto" w:fill="ced7e7"/>
        </w:tblPrEx>
        <w:trPr>
          <w:trHeight w:val="230" w:hRule="atLeast"/>
        </w:trPr>
        <w:tc>
          <w:tcPr>
            <w:tcW w:type="dxa" w:w="2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6d9f1"/>
            <w:tcMar>
              <w:top w:type="dxa" w:w="80"/>
              <w:left w:type="dxa" w:w="80"/>
              <w:bottom w:type="dxa" w:w="80"/>
              <w:right w:type="dxa" w:w="80"/>
            </w:tcMar>
            <w:vAlign w:val="bottom"/>
          </w:tcPr>
          <w:p>
            <w:pPr>
              <w:pStyle w:val="Normale"/>
              <w:spacing w:after="0" w:line="240" w:lineRule="auto"/>
            </w:pPr>
            <w:r>
              <w:rPr>
                <w:b w:val="1"/>
                <w:bCs w:val="1"/>
                <w:color w:val="0f243e"/>
                <w:sz w:val="20"/>
                <w:szCs w:val="20"/>
                <w:u w:color="0f243e"/>
                <w:rtl w:val="0"/>
                <w:lang w:val="it-IT"/>
              </w:rPr>
              <w:t>Unione Europea a 28</w:t>
            </w:r>
          </w:p>
        </w:tc>
        <w:tc>
          <w:tcPr>
            <w:tcW w:type="dxa" w:w="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6d9f1"/>
            <w:tcMar>
              <w:top w:type="dxa" w:w="80"/>
              <w:left w:type="dxa" w:w="80"/>
              <w:bottom w:type="dxa" w:w="80"/>
              <w:right w:type="dxa" w:w="80"/>
            </w:tcMar>
            <w:vAlign w:val="bottom"/>
          </w:tcPr>
          <w:p>
            <w:pPr>
              <w:pStyle w:val="Normale"/>
              <w:spacing w:after="0" w:line="240" w:lineRule="auto"/>
              <w:jc w:val="right"/>
            </w:pPr>
            <w:r>
              <w:rPr>
                <w:b w:val="1"/>
                <w:bCs w:val="1"/>
                <w:color w:val="0f243e"/>
                <w:sz w:val="20"/>
                <w:szCs w:val="20"/>
                <w:u w:color="0f243e"/>
                <w:rtl w:val="0"/>
                <w:lang w:val="it-IT"/>
              </w:rPr>
              <w:t>4,95</w:t>
            </w:r>
          </w:p>
        </w:tc>
        <w:tc>
          <w:tcPr>
            <w:tcW w:type="dxa" w:w="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6d9f1"/>
            <w:tcMar>
              <w:top w:type="dxa" w:w="80"/>
              <w:left w:type="dxa" w:w="80"/>
              <w:bottom w:type="dxa" w:w="80"/>
              <w:right w:type="dxa" w:w="80"/>
            </w:tcMar>
            <w:vAlign w:val="bottom"/>
          </w:tcPr>
          <w:p>
            <w:pPr>
              <w:pStyle w:val="Normale"/>
              <w:spacing w:after="0" w:line="240" w:lineRule="auto"/>
              <w:jc w:val="right"/>
            </w:pPr>
            <w:r>
              <w:rPr>
                <w:b w:val="1"/>
                <w:bCs w:val="1"/>
                <w:color w:val="0f243e"/>
                <w:sz w:val="20"/>
                <w:szCs w:val="20"/>
                <w:u w:color="0f243e"/>
                <w:rtl w:val="0"/>
                <w:lang w:val="it-IT"/>
              </w:rPr>
              <w:t>4,92</w:t>
            </w:r>
          </w:p>
        </w:tc>
        <w:tc>
          <w:tcPr>
            <w:tcW w:type="dxa" w:w="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6d9f1"/>
            <w:tcMar>
              <w:top w:type="dxa" w:w="80"/>
              <w:left w:type="dxa" w:w="80"/>
              <w:bottom w:type="dxa" w:w="80"/>
              <w:right w:type="dxa" w:w="80"/>
            </w:tcMar>
            <w:vAlign w:val="bottom"/>
          </w:tcPr>
          <w:p>
            <w:pPr>
              <w:pStyle w:val="Normale"/>
              <w:spacing w:after="0" w:line="240" w:lineRule="auto"/>
              <w:jc w:val="right"/>
            </w:pPr>
            <w:r>
              <w:rPr>
                <w:b w:val="1"/>
                <w:bCs w:val="1"/>
                <w:color w:val="0f243e"/>
                <w:sz w:val="20"/>
                <w:szCs w:val="20"/>
                <w:u w:color="0f243e"/>
                <w:rtl w:val="0"/>
                <w:lang w:val="it-IT"/>
              </w:rPr>
              <w:t>4,91</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6d9f1"/>
            <w:tcMar>
              <w:top w:type="dxa" w:w="80"/>
              <w:left w:type="dxa" w:w="80"/>
              <w:bottom w:type="dxa" w:w="80"/>
              <w:right w:type="dxa" w:w="80"/>
            </w:tcMar>
            <w:vAlign w:val="bottom"/>
          </w:tcPr>
          <w:p>
            <w:pPr>
              <w:pStyle w:val="Normale"/>
              <w:spacing w:after="0" w:line="240" w:lineRule="auto"/>
              <w:jc w:val="right"/>
            </w:pPr>
            <w:r>
              <w:rPr>
                <w:b w:val="1"/>
                <w:bCs w:val="1"/>
                <w:color w:val="0f243e"/>
                <w:sz w:val="20"/>
                <w:szCs w:val="20"/>
                <w:u w:color="0f243e"/>
                <w:rtl w:val="0"/>
                <w:lang w:val="it-IT"/>
              </w:rPr>
              <w:t>4,92</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6d9f1"/>
            <w:tcMar>
              <w:top w:type="dxa" w:w="80"/>
              <w:left w:type="dxa" w:w="80"/>
              <w:bottom w:type="dxa" w:w="80"/>
              <w:right w:type="dxa" w:w="80"/>
            </w:tcMar>
            <w:vAlign w:val="bottom"/>
          </w:tcPr>
          <w:p>
            <w:pPr>
              <w:pStyle w:val="Normale"/>
              <w:spacing w:after="0" w:line="240" w:lineRule="auto"/>
              <w:jc w:val="right"/>
            </w:pPr>
            <w:r>
              <w:rPr>
                <w:b w:val="1"/>
                <w:bCs w:val="1"/>
                <w:color w:val="0f243e"/>
                <w:sz w:val="20"/>
                <w:szCs w:val="20"/>
                <w:u w:color="0f243e"/>
                <w:rtl w:val="0"/>
                <w:lang w:val="it-IT"/>
              </w:rPr>
              <w:t>5,04</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6d9f1"/>
            <w:tcMar>
              <w:top w:type="dxa" w:w="80"/>
              <w:left w:type="dxa" w:w="80"/>
              <w:bottom w:type="dxa" w:w="80"/>
              <w:right w:type="dxa" w:w="80"/>
            </w:tcMar>
            <w:vAlign w:val="bottom"/>
          </w:tcPr>
          <w:p>
            <w:pPr>
              <w:pStyle w:val="Normale"/>
              <w:spacing w:after="0" w:line="240" w:lineRule="auto"/>
              <w:jc w:val="right"/>
            </w:pPr>
            <w:r>
              <w:rPr>
                <w:b w:val="1"/>
                <w:bCs w:val="1"/>
                <w:color w:val="0f243e"/>
                <w:sz w:val="20"/>
                <w:szCs w:val="20"/>
                <w:u w:color="0f243e"/>
                <w:rtl w:val="0"/>
                <w:lang w:val="it-IT"/>
              </w:rPr>
              <w:t>5,38</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6d9f1"/>
            <w:tcMar>
              <w:top w:type="dxa" w:w="80"/>
              <w:left w:type="dxa" w:w="80"/>
              <w:bottom w:type="dxa" w:w="80"/>
              <w:right w:type="dxa" w:w="80"/>
            </w:tcMar>
            <w:vAlign w:val="bottom"/>
          </w:tcPr>
          <w:p>
            <w:pPr>
              <w:pStyle w:val="Normale"/>
              <w:spacing w:after="0" w:line="240" w:lineRule="auto"/>
              <w:jc w:val="right"/>
            </w:pPr>
            <w:r>
              <w:rPr>
                <w:b w:val="1"/>
                <w:bCs w:val="1"/>
                <w:color w:val="0f243e"/>
                <w:sz w:val="20"/>
                <w:szCs w:val="20"/>
                <w:u w:color="0f243e"/>
                <w:rtl w:val="0"/>
                <w:lang w:val="it-IT"/>
              </w:rPr>
              <w:t>5,41</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6d9f1"/>
            <w:tcMar>
              <w:top w:type="dxa" w:w="80"/>
              <w:left w:type="dxa" w:w="80"/>
              <w:bottom w:type="dxa" w:w="80"/>
              <w:right w:type="dxa" w:w="80"/>
            </w:tcMar>
            <w:vAlign w:val="bottom"/>
          </w:tcPr>
          <w:p>
            <w:pPr>
              <w:pStyle w:val="Normale"/>
              <w:spacing w:after="0" w:line="240" w:lineRule="auto"/>
              <w:jc w:val="right"/>
            </w:pPr>
            <w:r>
              <w:rPr>
                <w:b w:val="1"/>
                <w:bCs w:val="1"/>
                <w:color w:val="0f243e"/>
                <w:sz w:val="20"/>
                <w:szCs w:val="20"/>
                <w:u w:color="0f243e"/>
                <w:rtl w:val="0"/>
                <w:lang w:val="it-IT"/>
              </w:rPr>
              <w:t>5,25</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6d9f1"/>
            <w:tcMar>
              <w:top w:type="dxa" w:w="80"/>
              <w:left w:type="dxa" w:w="80"/>
              <w:bottom w:type="dxa" w:w="80"/>
              <w:right w:type="dxa" w:w="80"/>
            </w:tcMar>
            <w:vAlign w:val="bottom"/>
          </w:tcPr>
          <w:p>
            <w:pPr>
              <w:pStyle w:val="Normale"/>
              <w:spacing w:after="0" w:line="240" w:lineRule="auto"/>
            </w:pPr>
            <w:r>
              <w:rPr>
                <w:b w:val="1"/>
                <w:bCs w:val="1"/>
                <w:color w:val="0f243e"/>
                <w:sz w:val="20"/>
                <w:szCs w:val="20"/>
                <w:u w:color="0f243e"/>
                <w:rtl w:val="0"/>
                <w:lang w:val="it-IT"/>
              </w:rPr>
              <w:t> </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6d9f1"/>
            <w:tcMar>
              <w:top w:type="dxa" w:w="80"/>
              <w:left w:type="dxa" w:w="80"/>
              <w:bottom w:type="dxa" w:w="80"/>
              <w:right w:type="dxa" w:w="80"/>
            </w:tcMar>
            <w:vAlign w:val="bottom"/>
          </w:tcPr>
          <w:p>
            <w:pPr>
              <w:pStyle w:val="Normale"/>
              <w:spacing w:after="0" w:line="240" w:lineRule="auto"/>
              <w:jc w:val="right"/>
            </w:pPr>
            <w:r>
              <w:rPr>
                <w:b w:val="1"/>
                <w:bCs w:val="1"/>
                <w:color w:val="0f243e"/>
                <w:sz w:val="20"/>
                <w:szCs w:val="20"/>
                <w:u w:color="0f243e"/>
                <w:rtl w:val="0"/>
                <w:lang w:val="it-IT"/>
              </w:rPr>
              <w:t>5,09</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6d9f1"/>
            <w:tcMar>
              <w:top w:type="dxa" w:w="80"/>
              <w:left w:type="dxa" w:w="80"/>
              <w:bottom w:type="dxa" w:w="80"/>
              <w:right w:type="dxa" w:w="80"/>
            </w:tcMar>
            <w:vAlign w:val="bottom"/>
          </w:tcPr>
          <w:p>
            <w:pPr>
              <w:pStyle w:val="Normale"/>
              <w:spacing w:after="0" w:line="240" w:lineRule="auto"/>
              <w:jc w:val="right"/>
            </w:pPr>
            <w:r>
              <w:rPr>
                <w:b w:val="1"/>
                <w:bCs w:val="1"/>
                <w:color w:val="0f243e"/>
                <w:sz w:val="20"/>
                <w:szCs w:val="20"/>
                <w:u w:color="0f243e"/>
                <w:rtl w:val="0"/>
                <w:lang w:val="it-IT"/>
              </w:rPr>
              <w:t>5,11</w:t>
            </w:r>
          </w:p>
        </w:tc>
      </w:tr>
      <w:tr>
        <w:tblPrEx>
          <w:shd w:val="clear" w:color="auto" w:fill="ced7e7"/>
        </w:tblPrEx>
        <w:trPr>
          <w:trHeight w:val="230" w:hRule="atLeast"/>
        </w:trPr>
        <w:tc>
          <w:tcPr>
            <w:tcW w:type="dxa" w:w="2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pPr>
            <w:r>
              <w:rPr>
                <w:color w:val="0f243e"/>
                <w:sz w:val="20"/>
                <w:szCs w:val="20"/>
                <w:u w:color="0f243e"/>
                <w:rtl w:val="0"/>
                <w:lang w:val="it-IT"/>
              </w:rPr>
              <w:t>Danimarca</w:t>
            </w:r>
          </w:p>
        </w:tc>
        <w:tc>
          <w:tcPr>
            <w:tcW w:type="dxa" w:w="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8,43</w:t>
            </w:r>
          </w:p>
        </w:tc>
        <w:tc>
          <w:tcPr>
            <w:tcW w:type="dxa" w:w="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8,30</w:t>
            </w:r>
          </w:p>
        </w:tc>
        <w:tc>
          <w:tcPr>
            <w:tcW w:type="dxa" w:w="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7,97</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7,81</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7,68</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8,74</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8,81</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8,75</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pPr>
            <w:r>
              <w:rPr>
                <w:color w:val="0f243e"/>
                <w:sz w:val="20"/>
                <w:szCs w:val="20"/>
                <w:u w:color="0f243e"/>
                <w:rtl w:val="0"/>
                <w:lang w:val="it-IT"/>
              </w:rPr>
              <w:t>:</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pPr>
            <w:r>
              <w:rPr>
                <w:color w:val="0f243e"/>
                <w:sz w:val="20"/>
                <w:szCs w:val="20"/>
                <w:u w:color="0f243e"/>
                <w:rtl w:val="0"/>
                <w:lang w:val="it-IT"/>
              </w:rPr>
              <w:t>:</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pPr>
            <w:r>
              <w:rPr>
                <w:color w:val="0f243e"/>
                <w:sz w:val="20"/>
                <w:szCs w:val="20"/>
                <w:u w:color="0f243e"/>
                <w:rtl w:val="0"/>
                <w:lang w:val="it-IT"/>
              </w:rPr>
              <w:t>:</w:t>
            </w:r>
          </w:p>
        </w:tc>
      </w:tr>
      <w:tr>
        <w:tblPrEx>
          <w:shd w:val="clear" w:color="auto" w:fill="ced7e7"/>
        </w:tblPrEx>
        <w:trPr>
          <w:trHeight w:val="230" w:hRule="atLeast"/>
        </w:trPr>
        <w:tc>
          <w:tcPr>
            <w:tcW w:type="dxa" w:w="2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pPr>
            <w:r>
              <w:rPr>
                <w:color w:val="0f243e"/>
                <w:sz w:val="20"/>
                <w:szCs w:val="20"/>
                <w:u w:color="0f243e"/>
                <w:rtl w:val="0"/>
                <w:lang w:val="it-IT"/>
              </w:rPr>
              <w:t>Svezia</w:t>
            </w:r>
          </w:p>
        </w:tc>
        <w:tc>
          <w:tcPr>
            <w:tcW w:type="dxa" w:w="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7,09</w:t>
            </w:r>
          </w:p>
        </w:tc>
        <w:tc>
          <w:tcPr>
            <w:tcW w:type="dxa" w:w="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6,89</w:t>
            </w:r>
          </w:p>
        </w:tc>
        <w:tc>
          <w:tcPr>
            <w:tcW w:type="dxa" w:w="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6,75</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6,61</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6,76</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7,26</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6,98</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6,82</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7,38</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7,17</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7,14</w:t>
            </w:r>
          </w:p>
        </w:tc>
      </w:tr>
      <w:tr>
        <w:tblPrEx>
          <w:shd w:val="clear" w:color="auto" w:fill="ced7e7"/>
        </w:tblPrEx>
        <w:trPr>
          <w:trHeight w:val="230" w:hRule="atLeast"/>
        </w:trPr>
        <w:tc>
          <w:tcPr>
            <w:tcW w:type="dxa" w:w="2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pPr>
            <w:r>
              <w:rPr>
                <w:color w:val="0f243e"/>
                <w:sz w:val="20"/>
                <w:szCs w:val="20"/>
                <w:u w:color="0f243e"/>
                <w:rtl w:val="0"/>
                <w:lang w:val="it-IT"/>
              </w:rPr>
              <w:t>Finlandia</w:t>
            </w:r>
          </w:p>
        </w:tc>
        <w:tc>
          <w:tcPr>
            <w:tcW w:type="dxa" w:w="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6,42</w:t>
            </w:r>
          </w:p>
        </w:tc>
        <w:tc>
          <w:tcPr>
            <w:tcW w:type="dxa" w:w="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6,30</w:t>
            </w:r>
          </w:p>
        </w:tc>
        <w:tc>
          <w:tcPr>
            <w:tcW w:type="dxa" w:w="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6,18</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5,90</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6,10</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6,81</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6,85</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6,76</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pPr>
            <w:r>
              <w:rPr>
                <w:color w:val="0f243e"/>
                <w:sz w:val="20"/>
                <w:szCs w:val="20"/>
                <w:u w:color="0f243e"/>
                <w:rtl w:val="0"/>
                <w:lang w:val="it-IT"/>
              </w:rPr>
              <w:t>:</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pPr>
            <w:r>
              <w:rPr>
                <w:color w:val="0f243e"/>
                <w:sz w:val="20"/>
                <w:szCs w:val="20"/>
                <w:u w:color="0f243e"/>
                <w:rtl w:val="0"/>
                <w:lang w:val="it-IT"/>
              </w:rPr>
              <w:t>:</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6,81</w:t>
            </w:r>
          </w:p>
        </w:tc>
      </w:tr>
      <w:tr>
        <w:tblPrEx>
          <w:shd w:val="clear" w:color="auto" w:fill="ced7e7"/>
        </w:tblPrEx>
        <w:trPr>
          <w:trHeight w:val="230" w:hRule="atLeast"/>
        </w:trPr>
        <w:tc>
          <w:tcPr>
            <w:tcW w:type="dxa" w:w="2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pPr>
            <w:r>
              <w:rPr>
                <w:color w:val="0f243e"/>
                <w:sz w:val="20"/>
                <w:szCs w:val="20"/>
                <w:u w:color="0f243e"/>
                <w:rtl w:val="0"/>
                <w:lang w:val="it-IT"/>
              </w:rPr>
              <w:t>Belgio</w:t>
            </w:r>
          </w:p>
        </w:tc>
        <w:tc>
          <w:tcPr>
            <w:tcW w:type="dxa" w:w="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5,95</w:t>
            </w:r>
          </w:p>
        </w:tc>
        <w:tc>
          <w:tcPr>
            <w:tcW w:type="dxa" w:w="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5,92</w:t>
            </w:r>
          </w:p>
        </w:tc>
        <w:tc>
          <w:tcPr>
            <w:tcW w:type="dxa" w:w="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5,98</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6,00</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6,43</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6,57</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6,58</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6,55</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6,59</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6,52</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6,46</w:t>
            </w:r>
          </w:p>
        </w:tc>
      </w:tr>
      <w:tr>
        <w:tblPrEx>
          <w:shd w:val="clear" w:color="auto" w:fill="ced7e7"/>
        </w:tblPrEx>
        <w:trPr>
          <w:trHeight w:val="230" w:hRule="atLeast"/>
        </w:trPr>
        <w:tc>
          <w:tcPr>
            <w:tcW w:type="dxa" w:w="2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pPr>
            <w:r>
              <w:rPr>
                <w:color w:val="0f243e"/>
                <w:sz w:val="20"/>
                <w:szCs w:val="20"/>
                <w:u w:color="0f243e"/>
                <w:rtl w:val="0"/>
                <w:lang w:val="it-IT"/>
              </w:rPr>
              <w:t>Cipro</w:t>
            </w:r>
          </w:p>
        </w:tc>
        <w:tc>
          <w:tcPr>
            <w:tcW w:type="dxa" w:w="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6,77</w:t>
            </w:r>
          </w:p>
        </w:tc>
        <w:tc>
          <w:tcPr>
            <w:tcW w:type="dxa" w:w="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6,95</w:t>
            </w:r>
          </w:p>
        </w:tc>
        <w:tc>
          <w:tcPr>
            <w:tcW w:type="dxa" w:w="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7,02</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6,95</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7,45</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7,98</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7,92</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7,87</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6,67</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6,44</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6,14</w:t>
            </w:r>
          </w:p>
        </w:tc>
      </w:tr>
      <w:tr>
        <w:tblPrEx>
          <w:shd w:val="clear" w:color="auto" w:fill="ced7e7"/>
        </w:tblPrEx>
        <w:trPr>
          <w:trHeight w:val="230" w:hRule="atLeast"/>
        </w:trPr>
        <w:tc>
          <w:tcPr>
            <w:tcW w:type="dxa" w:w="2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pPr>
            <w:r>
              <w:rPr>
                <w:color w:val="0f243e"/>
                <w:sz w:val="20"/>
                <w:szCs w:val="20"/>
                <w:u w:color="0f243e"/>
                <w:rtl w:val="0"/>
                <w:lang w:val="it-IT"/>
              </w:rPr>
              <w:t>Malta</w:t>
            </w:r>
          </w:p>
        </w:tc>
        <w:tc>
          <w:tcPr>
            <w:tcW w:type="dxa" w:w="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4,66</w:t>
            </w:r>
          </w:p>
        </w:tc>
        <w:tc>
          <w:tcPr>
            <w:tcW w:type="dxa" w:w="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6,58</w:t>
            </w:r>
          </w:p>
        </w:tc>
        <w:tc>
          <w:tcPr>
            <w:tcW w:type="dxa" w:w="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6,45</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6,18</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5,72</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5,32</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6,74</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7,96</w:t>
            </w:r>
          </w:p>
        </w:tc>
        <w:tc>
          <w:tcPr>
            <w:tcW w:type="dxa" w:w="715"/>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6,76</w:t>
            </w:r>
          </w:p>
        </w:tc>
        <w:tc>
          <w:tcPr>
            <w:tcW w:type="dxa" w:w="71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6,56</w:t>
            </w:r>
          </w:p>
        </w:tc>
        <w:tc>
          <w:tcPr>
            <w:tcW w:type="dxa" w:w="715"/>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6,05</w:t>
            </w:r>
          </w:p>
        </w:tc>
      </w:tr>
      <w:tr>
        <w:tblPrEx>
          <w:shd w:val="clear" w:color="auto" w:fill="ced7e7"/>
        </w:tblPrEx>
        <w:trPr>
          <w:trHeight w:val="230" w:hRule="atLeast"/>
        </w:trPr>
        <w:tc>
          <w:tcPr>
            <w:tcW w:type="dxa" w:w="2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pPr>
            <w:r>
              <w:rPr>
                <w:color w:val="0f243e"/>
                <w:sz w:val="20"/>
                <w:szCs w:val="20"/>
                <w:u w:color="0f243e"/>
                <w:rtl w:val="0"/>
                <w:lang w:val="it-IT"/>
              </w:rPr>
              <w:t>Regno Unito</w:t>
            </w:r>
          </w:p>
        </w:tc>
        <w:tc>
          <w:tcPr>
            <w:tcW w:type="dxa" w:w="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5,12</w:t>
            </w:r>
          </w:p>
        </w:tc>
        <w:tc>
          <w:tcPr>
            <w:tcW w:type="dxa" w:w="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5,31</w:t>
            </w:r>
          </w:p>
        </w:tc>
        <w:tc>
          <w:tcPr>
            <w:tcW w:type="dxa" w:w="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5,38</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5,29</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5,28</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5,56</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6,15</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5,98</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pPr>
            <w:r>
              <w:rPr>
                <w:color w:val="0f243e"/>
                <w:sz w:val="20"/>
                <w:szCs w:val="20"/>
                <w:u w:color="0f243e"/>
                <w:rtl w:val="0"/>
                <w:lang w:val="it-IT"/>
              </w:rPr>
              <w:t>:</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5,89</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5,85</w:t>
            </w:r>
          </w:p>
        </w:tc>
      </w:tr>
      <w:tr>
        <w:tblPrEx>
          <w:shd w:val="clear" w:color="auto" w:fill="ced7e7"/>
        </w:tblPrEx>
        <w:trPr>
          <w:trHeight w:val="230" w:hRule="atLeast"/>
        </w:trPr>
        <w:tc>
          <w:tcPr>
            <w:tcW w:type="dxa" w:w="2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pPr>
            <w:r>
              <w:rPr>
                <w:color w:val="0f243e"/>
                <w:sz w:val="20"/>
                <w:szCs w:val="20"/>
                <w:u w:color="0f243e"/>
                <w:rtl w:val="0"/>
                <w:lang w:val="it-IT"/>
              </w:rPr>
              <w:t>Francia</w:t>
            </w:r>
          </w:p>
        </w:tc>
        <w:tc>
          <w:tcPr>
            <w:tcW w:type="dxa" w:w="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5,80</w:t>
            </w:r>
          </w:p>
        </w:tc>
        <w:tc>
          <w:tcPr>
            <w:tcW w:type="dxa" w:w="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5,67</w:t>
            </w:r>
          </w:p>
        </w:tc>
        <w:tc>
          <w:tcPr>
            <w:tcW w:type="dxa" w:w="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5,61</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5,62</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5,62</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5,90</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5,86</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5,68</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5,46</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5,51</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5,54</w:t>
            </w:r>
          </w:p>
        </w:tc>
      </w:tr>
      <w:tr>
        <w:tblPrEx>
          <w:shd w:val="clear" w:color="auto" w:fill="ced7e7"/>
        </w:tblPrEx>
        <w:trPr>
          <w:trHeight w:val="230" w:hRule="atLeast"/>
        </w:trPr>
        <w:tc>
          <w:tcPr>
            <w:tcW w:type="dxa" w:w="2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pPr>
            <w:r>
              <w:rPr>
                <w:color w:val="0f243e"/>
                <w:sz w:val="20"/>
                <w:szCs w:val="20"/>
                <w:u w:color="0f243e"/>
                <w:rtl w:val="0"/>
                <w:lang w:val="it-IT"/>
              </w:rPr>
              <w:t>Paesi Bassi</w:t>
            </w:r>
          </w:p>
        </w:tc>
        <w:tc>
          <w:tcPr>
            <w:tcW w:type="dxa" w:w="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5,50</w:t>
            </w:r>
          </w:p>
        </w:tc>
        <w:tc>
          <w:tcPr>
            <w:tcW w:type="dxa" w:w="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5,53</w:t>
            </w:r>
          </w:p>
        </w:tc>
        <w:tc>
          <w:tcPr>
            <w:tcW w:type="dxa" w:w="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5,50</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5,32</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5,50</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5,95</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5,98</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5,93</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5,89</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5,59</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5,53</w:t>
            </w:r>
          </w:p>
        </w:tc>
      </w:tr>
      <w:tr>
        <w:tblPrEx>
          <w:shd w:val="clear" w:color="auto" w:fill="ced7e7"/>
        </w:tblPrEx>
        <w:trPr>
          <w:trHeight w:val="230" w:hRule="atLeast"/>
        </w:trPr>
        <w:tc>
          <w:tcPr>
            <w:tcW w:type="dxa" w:w="2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pPr>
            <w:r>
              <w:rPr>
                <w:color w:val="0f243e"/>
                <w:sz w:val="20"/>
                <w:szCs w:val="20"/>
                <w:u w:color="0f243e"/>
                <w:rtl w:val="0"/>
                <w:lang w:val="it-IT"/>
              </w:rPr>
              <w:t>Austria</w:t>
            </w:r>
          </w:p>
        </w:tc>
        <w:tc>
          <w:tcPr>
            <w:tcW w:type="dxa" w:w="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5,48</w:t>
            </w:r>
          </w:p>
        </w:tc>
        <w:tc>
          <w:tcPr>
            <w:tcW w:type="dxa" w:w="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5,44</w:t>
            </w:r>
          </w:p>
        </w:tc>
        <w:tc>
          <w:tcPr>
            <w:tcW w:type="dxa" w:w="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5,40</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5,33</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5,47</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5,98</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5,91</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5,80</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5,62</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5,49</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5,40</w:t>
            </w:r>
          </w:p>
        </w:tc>
      </w:tr>
      <w:tr>
        <w:tblPrEx>
          <w:shd w:val="clear" w:color="auto" w:fill="ced7e7"/>
        </w:tblPrEx>
        <w:trPr>
          <w:trHeight w:val="230" w:hRule="atLeast"/>
        </w:trPr>
        <w:tc>
          <w:tcPr>
            <w:tcW w:type="dxa" w:w="2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pPr>
            <w:r>
              <w:rPr>
                <w:color w:val="0f243e"/>
                <w:sz w:val="20"/>
                <w:szCs w:val="20"/>
                <w:u w:color="0f243e"/>
                <w:rtl w:val="0"/>
                <w:lang w:val="it-IT"/>
              </w:rPr>
              <w:t>Lettonia</w:t>
            </w:r>
          </w:p>
        </w:tc>
        <w:tc>
          <w:tcPr>
            <w:tcW w:type="dxa" w:w="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5,12</w:t>
            </w:r>
          </w:p>
        </w:tc>
        <w:tc>
          <w:tcPr>
            <w:tcW w:type="dxa" w:w="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5,14</w:t>
            </w:r>
          </w:p>
        </w:tc>
        <w:tc>
          <w:tcPr>
            <w:tcW w:type="dxa" w:w="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5,13</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5,07</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5,71</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5,59</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4,96</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4,96</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4,59</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4,91</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5,28</w:t>
            </w:r>
          </w:p>
        </w:tc>
      </w:tr>
      <w:tr>
        <w:tblPrEx>
          <w:shd w:val="clear" w:color="auto" w:fill="ced7e7"/>
        </w:tblPrEx>
        <w:trPr>
          <w:trHeight w:val="230" w:hRule="atLeast"/>
        </w:trPr>
        <w:tc>
          <w:tcPr>
            <w:tcW w:type="dxa" w:w="2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pPr>
            <w:r>
              <w:rPr>
                <w:color w:val="0f243e"/>
                <w:sz w:val="20"/>
                <w:szCs w:val="20"/>
                <w:u w:color="0f243e"/>
                <w:rtl w:val="0"/>
                <w:lang w:val="it-IT"/>
              </w:rPr>
              <w:t>Portogallo</w:t>
            </w:r>
          </w:p>
        </w:tc>
        <w:tc>
          <w:tcPr>
            <w:tcW w:type="dxa" w:w="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5,10</w:t>
            </w:r>
          </w:p>
        </w:tc>
        <w:tc>
          <w:tcPr>
            <w:tcW w:type="dxa" w:w="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5,21</w:t>
            </w:r>
          </w:p>
        </w:tc>
        <w:tc>
          <w:tcPr>
            <w:tcW w:type="dxa" w:w="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5,07</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5,10</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4,89</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5,79</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5,62</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5,27</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pPr>
            <w:r>
              <w:rPr>
                <w:color w:val="0f243e"/>
                <w:sz w:val="20"/>
                <w:szCs w:val="20"/>
                <w:u w:color="0f243e"/>
                <w:rtl w:val="0"/>
                <w:lang w:val="it-IT"/>
              </w:rPr>
              <w:t>:</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5,20</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5,04</w:t>
            </w:r>
          </w:p>
        </w:tc>
      </w:tr>
      <w:tr>
        <w:tblPrEx>
          <w:shd w:val="clear" w:color="auto" w:fill="ced7e7"/>
        </w:tblPrEx>
        <w:trPr>
          <w:trHeight w:val="230" w:hRule="atLeast"/>
        </w:trPr>
        <w:tc>
          <w:tcPr>
            <w:tcW w:type="dxa" w:w="2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pPr>
            <w:r>
              <w:rPr>
                <w:color w:val="0f243e"/>
                <w:sz w:val="20"/>
                <w:szCs w:val="20"/>
                <w:u w:color="0f243e"/>
                <w:rtl w:val="0"/>
                <w:lang w:val="it-IT"/>
              </w:rPr>
              <w:t>Slovenia</w:t>
            </w:r>
          </w:p>
        </w:tc>
        <w:tc>
          <w:tcPr>
            <w:tcW w:type="dxa" w:w="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5,74</w:t>
            </w:r>
          </w:p>
        </w:tc>
        <w:tc>
          <w:tcPr>
            <w:tcW w:type="dxa" w:w="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5,73</w:t>
            </w:r>
          </w:p>
        </w:tc>
        <w:tc>
          <w:tcPr>
            <w:tcW w:type="dxa" w:w="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5,72</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5,15</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5,20</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5,69</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5,68</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5,68</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5,44</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5,12</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4,99</w:t>
            </w:r>
          </w:p>
        </w:tc>
      </w:tr>
      <w:tr>
        <w:tblPrEx>
          <w:shd w:val="clear" w:color="auto" w:fill="ced7e7"/>
        </w:tblPrEx>
        <w:trPr>
          <w:trHeight w:val="230" w:hRule="atLeast"/>
        </w:trPr>
        <w:tc>
          <w:tcPr>
            <w:tcW w:type="dxa" w:w="2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pPr>
            <w:r>
              <w:rPr>
                <w:color w:val="0f243e"/>
                <w:sz w:val="20"/>
                <w:szCs w:val="20"/>
                <w:u w:color="0f243e"/>
                <w:rtl w:val="0"/>
                <w:lang w:val="it-IT"/>
              </w:rPr>
              <w:t>Irlanda</w:t>
            </w:r>
          </w:p>
        </w:tc>
        <w:tc>
          <w:tcPr>
            <w:tcW w:type="dxa" w:w="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4,66</w:t>
            </w:r>
          </w:p>
        </w:tc>
        <w:tc>
          <w:tcPr>
            <w:tcW w:type="dxa" w:w="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4,72</w:t>
            </w:r>
          </w:p>
        </w:tc>
        <w:tc>
          <w:tcPr>
            <w:tcW w:type="dxa" w:w="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4,73</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4,92</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5,67</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6,43</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6,41</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6,15</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6,16</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5,32</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4,92</w:t>
            </w:r>
          </w:p>
        </w:tc>
      </w:tr>
      <w:tr>
        <w:tblPrEx>
          <w:shd w:val="clear" w:color="auto" w:fill="ced7e7"/>
        </w:tblPrEx>
        <w:trPr>
          <w:trHeight w:val="230" w:hRule="atLeast"/>
        </w:trPr>
        <w:tc>
          <w:tcPr>
            <w:tcW w:type="dxa" w:w="2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pPr>
            <w:r>
              <w:rPr>
                <w:color w:val="0f243e"/>
                <w:sz w:val="20"/>
                <w:szCs w:val="20"/>
                <w:u w:color="0f243e"/>
                <w:rtl w:val="0"/>
                <w:lang w:val="it-IT"/>
              </w:rPr>
              <w:t>Polonia</w:t>
            </w:r>
          </w:p>
        </w:tc>
        <w:tc>
          <w:tcPr>
            <w:tcW w:type="dxa" w:w="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5,41</w:t>
            </w:r>
          </w:p>
        </w:tc>
        <w:tc>
          <w:tcPr>
            <w:tcW w:type="dxa" w:w="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5,47</w:t>
            </w:r>
          </w:p>
        </w:tc>
        <w:tc>
          <w:tcPr>
            <w:tcW w:type="dxa" w:w="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5,25</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4,91</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5,08</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5,09</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5,17</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4,94</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4,91</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4,94</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4,91</w:t>
            </w:r>
          </w:p>
        </w:tc>
      </w:tr>
      <w:tr>
        <w:tblPrEx>
          <w:shd w:val="clear" w:color="auto" w:fill="ced7e7"/>
        </w:tblPrEx>
        <w:trPr>
          <w:trHeight w:val="230" w:hRule="atLeast"/>
        </w:trPr>
        <w:tc>
          <w:tcPr>
            <w:tcW w:type="dxa" w:w="2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pPr>
            <w:r>
              <w:rPr>
                <w:color w:val="0f243e"/>
                <w:sz w:val="20"/>
                <w:szCs w:val="20"/>
                <w:u w:color="0f243e"/>
                <w:rtl w:val="0"/>
                <w:lang w:val="it-IT"/>
              </w:rPr>
              <w:t>Estonia</w:t>
            </w:r>
          </w:p>
        </w:tc>
        <w:tc>
          <w:tcPr>
            <w:tcW w:type="dxa" w:w="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4,92</w:t>
            </w:r>
          </w:p>
        </w:tc>
        <w:tc>
          <w:tcPr>
            <w:tcW w:type="dxa" w:w="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4,88</w:t>
            </w:r>
          </w:p>
        </w:tc>
        <w:tc>
          <w:tcPr>
            <w:tcW w:type="dxa" w:w="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4,70</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4,72</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5,61</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6,03</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5,66</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5,16</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4,82</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4,85</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pPr>
            <w:r>
              <w:rPr>
                <w:color w:val="0f243e"/>
                <w:sz w:val="20"/>
                <w:szCs w:val="20"/>
                <w:u w:color="0f243e"/>
                <w:rtl w:val="0"/>
                <w:lang w:val="it-IT"/>
              </w:rPr>
              <w:t>:</w:t>
            </w:r>
          </w:p>
        </w:tc>
      </w:tr>
      <w:tr>
        <w:tblPrEx>
          <w:shd w:val="clear" w:color="auto" w:fill="ced7e7"/>
        </w:tblPrEx>
        <w:trPr>
          <w:trHeight w:val="230" w:hRule="atLeast"/>
        </w:trPr>
        <w:tc>
          <w:tcPr>
            <w:tcW w:type="dxa" w:w="2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pPr>
            <w:r>
              <w:rPr>
                <w:color w:val="0f243e"/>
                <w:sz w:val="20"/>
                <w:szCs w:val="20"/>
                <w:u w:color="0f243e"/>
                <w:rtl w:val="0"/>
                <w:lang w:val="it-IT"/>
              </w:rPr>
              <w:t>Germania</w:t>
            </w:r>
          </w:p>
        </w:tc>
        <w:tc>
          <w:tcPr>
            <w:tcW w:type="dxa" w:w="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4,62</w:t>
            </w:r>
          </w:p>
        </w:tc>
        <w:tc>
          <w:tcPr>
            <w:tcW w:type="dxa" w:w="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4,57</w:t>
            </w:r>
          </w:p>
        </w:tc>
        <w:tc>
          <w:tcPr>
            <w:tcW w:type="dxa" w:w="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4,43</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4,49</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4,57</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5,06</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5,08</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4,98</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4,84</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4,65</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4,63</w:t>
            </w:r>
          </w:p>
        </w:tc>
      </w:tr>
      <w:tr>
        <w:tblPrEx>
          <w:shd w:val="clear" w:color="auto" w:fill="ced7e7"/>
        </w:tblPrEx>
        <w:trPr>
          <w:trHeight w:val="230" w:hRule="atLeast"/>
        </w:trPr>
        <w:tc>
          <w:tcPr>
            <w:tcW w:type="dxa" w:w="2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pPr>
            <w:r>
              <w:rPr>
                <w:color w:val="0f243e"/>
                <w:sz w:val="20"/>
                <w:szCs w:val="20"/>
                <w:u w:color="0f243e"/>
                <w:rtl w:val="0"/>
                <w:lang w:val="it-IT"/>
              </w:rPr>
              <w:t>Lituania</w:t>
            </w:r>
          </w:p>
        </w:tc>
        <w:tc>
          <w:tcPr>
            <w:tcW w:type="dxa" w:w="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5,17</w:t>
            </w:r>
          </w:p>
        </w:tc>
        <w:tc>
          <w:tcPr>
            <w:tcW w:type="dxa" w:w="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4,88</w:t>
            </w:r>
          </w:p>
        </w:tc>
        <w:tc>
          <w:tcPr>
            <w:tcW w:type="dxa" w:w="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4,82</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4,64</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4,88</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5,64</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5,36</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5,17</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4,83</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pPr>
            <w:r>
              <w:rPr>
                <w:color w:val="0f243e"/>
                <w:sz w:val="20"/>
                <w:szCs w:val="20"/>
                <w:u w:color="0f243e"/>
                <w:rtl w:val="0"/>
                <w:lang w:val="it-IT"/>
              </w:rPr>
              <w:t>:</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4,37</w:t>
            </w:r>
          </w:p>
        </w:tc>
      </w:tr>
      <w:tr>
        <w:tblPrEx>
          <w:shd w:val="clear" w:color="auto" w:fill="ced7e7"/>
        </w:tblPrEx>
        <w:trPr>
          <w:trHeight w:val="230" w:hRule="atLeast"/>
        </w:trPr>
        <w:tc>
          <w:tcPr>
            <w:tcW w:type="dxa" w:w="2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pPr>
            <w:r>
              <w:rPr>
                <w:color w:val="0f243e"/>
                <w:sz w:val="20"/>
                <w:szCs w:val="20"/>
                <w:u w:color="0f243e"/>
                <w:rtl w:val="0"/>
                <w:lang w:val="it-IT"/>
              </w:rPr>
              <w:t>Bulgaria</w:t>
            </w:r>
          </w:p>
        </w:tc>
        <w:tc>
          <w:tcPr>
            <w:tcW w:type="dxa" w:w="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4,40</w:t>
            </w:r>
          </w:p>
        </w:tc>
        <w:tc>
          <w:tcPr>
            <w:tcW w:type="dxa" w:w="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4,25</w:t>
            </w:r>
          </w:p>
        </w:tc>
        <w:tc>
          <w:tcPr>
            <w:tcW w:type="dxa" w:w="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4,04</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3,88</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4,44</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4,58</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4,10</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3,82</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3,68</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4,06</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4,22</w:t>
            </w:r>
          </w:p>
        </w:tc>
      </w:tr>
      <w:tr>
        <w:tblPrEx>
          <w:shd w:val="clear" w:color="auto" w:fill="ced7e7"/>
        </w:tblPrEx>
        <w:trPr>
          <w:trHeight w:val="230" w:hRule="atLeast"/>
        </w:trPr>
        <w:tc>
          <w:tcPr>
            <w:tcW w:type="dxa" w:w="2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pPr>
            <w:r>
              <w:rPr>
                <w:color w:val="0f243e"/>
                <w:sz w:val="20"/>
                <w:szCs w:val="20"/>
                <w:u w:color="0f243e"/>
                <w:rtl w:val="0"/>
                <w:lang w:val="it-IT"/>
              </w:rPr>
              <w:t>Croazia</w:t>
            </w:r>
          </w:p>
        </w:tc>
        <w:tc>
          <w:tcPr>
            <w:tcW w:type="dxa" w:w="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3,87</w:t>
            </w:r>
          </w:p>
        </w:tc>
        <w:tc>
          <w:tcPr>
            <w:tcW w:type="dxa" w:w="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3,98</w:t>
            </w:r>
          </w:p>
        </w:tc>
        <w:tc>
          <w:tcPr>
            <w:tcW w:type="dxa" w:w="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4,04</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4,02</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4,32</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4,42</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4,31</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4,21</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pPr>
            <w:r>
              <w:rPr>
                <w:color w:val="0f243e"/>
                <w:sz w:val="20"/>
                <w:szCs w:val="20"/>
                <w:u w:color="0f243e"/>
                <w:rtl w:val="0"/>
                <w:lang w:val="it-IT"/>
              </w:rPr>
              <w:t>:</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pPr>
            <w:r>
              <w:rPr>
                <w:color w:val="0f243e"/>
                <w:sz w:val="20"/>
                <w:szCs w:val="20"/>
                <w:u w:color="0f243e"/>
                <w:rtl w:val="0"/>
                <w:lang w:val="it-IT"/>
              </w:rPr>
              <w:t>:</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pPr>
            <w:r>
              <w:rPr>
                <w:color w:val="0f243e"/>
                <w:sz w:val="20"/>
                <w:szCs w:val="20"/>
                <w:u w:color="0f243e"/>
                <w:rtl w:val="0"/>
                <w:lang w:val="it-IT"/>
              </w:rPr>
              <w:t>:</w:t>
            </w:r>
          </w:p>
        </w:tc>
      </w:tr>
      <w:tr>
        <w:tblPrEx>
          <w:shd w:val="clear" w:color="auto" w:fill="ced7e7"/>
        </w:tblPrEx>
        <w:trPr>
          <w:trHeight w:val="230" w:hRule="atLeast"/>
        </w:trPr>
        <w:tc>
          <w:tcPr>
            <w:tcW w:type="dxa" w:w="2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pPr>
            <w:r>
              <w:rPr>
                <w:color w:val="0f243e"/>
                <w:sz w:val="20"/>
                <w:szCs w:val="20"/>
                <w:u w:color="0f243e"/>
                <w:rtl w:val="0"/>
                <w:lang w:val="it-IT"/>
              </w:rPr>
              <w:t>Spagna</w:t>
            </w:r>
          </w:p>
        </w:tc>
        <w:tc>
          <w:tcPr>
            <w:tcW w:type="dxa" w:w="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4,25</w:t>
            </w:r>
          </w:p>
        </w:tc>
        <w:tc>
          <w:tcPr>
            <w:tcW w:type="dxa" w:w="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4,23</w:t>
            </w:r>
          </w:p>
        </w:tc>
        <w:tc>
          <w:tcPr>
            <w:tcW w:type="dxa" w:w="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4,26</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4,34</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4,62</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5,02</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4,98</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4,82</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4,34</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4,18</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4,15</w:t>
            </w:r>
          </w:p>
        </w:tc>
      </w:tr>
      <w:tr>
        <w:tblPrEx>
          <w:shd w:val="clear" w:color="auto" w:fill="ced7e7"/>
        </w:tblPrEx>
        <w:trPr>
          <w:trHeight w:val="230" w:hRule="atLeast"/>
        </w:trPr>
        <w:tc>
          <w:tcPr>
            <w:tcW w:type="dxa" w:w="2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pPr>
            <w:r>
              <w:rPr>
                <w:color w:val="0f243e"/>
                <w:sz w:val="20"/>
                <w:szCs w:val="20"/>
                <w:u w:color="0f243e"/>
                <w:rtl w:val="0"/>
                <w:lang w:val="it-IT"/>
              </w:rPr>
              <w:t>Slovacchia</w:t>
            </w:r>
          </w:p>
        </w:tc>
        <w:tc>
          <w:tcPr>
            <w:tcW w:type="dxa" w:w="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4,19</w:t>
            </w:r>
          </w:p>
        </w:tc>
        <w:tc>
          <w:tcPr>
            <w:tcW w:type="dxa" w:w="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3,85</w:t>
            </w:r>
          </w:p>
        </w:tc>
        <w:tc>
          <w:tcPr>
            <w:tcW w:type="dxa" w:w="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3,80</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3,62</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3,61</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4,09</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4,22</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4,06</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3,05</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4,01</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4,09</w:t>
            </w:r>
          </w:p>
        </w:tc>
      </w:tr>
      <w:tr>
        <w:tblPrEx>
          <w:shd w:val="clear" w:color="auto" w:fill="ced7e7"/>
        </w:tblPrEx>
        <w:trPr>
          <w:trHeight w:val="230" w:hRule="atLeast"/>
        </w:trPr>
        <w:tc>
          <w:tcPr>
            <w:tcW w:type="dxa" w:w="2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00"/>
            <w:tcMar>
              <w:top w:type="dxa" w:w="80"/>
              <w:left w:type="dxa" w:w="80"/>
              <w:bottom w:type="dxa" w:w="80"/>
              <w:right w:type="dxa" w:w="80"/>
            </w:tcMar>
            <w:vAlign w:val="bottom"/>
          </w:tcPr>
          <w:p>
            <w:pPr>
              <w:pStyle w:val="Normale"/>
              <w:spacing w:after="0" w:line="240" w:lineRule="auto"/>
            </w:pPr>
            <w:r>
              <w:rPr>
                <w:color w:val="0f243e"/>
                <w:sz w:val="20"/>
                <w:szCs w:val="20"/>
                <w:u w:color="0f243e"/>
                <w:rtl w:val="0"/>
                <w:lang w:val="it-IT"/>
              </w:rPr>
              <w:t>Italia</w:t>
            </w:r>
          </w:p>
        </w:tc>
        <w:tc>
          <w:tcPr>
            <w:tcW w:type="dxa" w:w="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00"/>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4,56</w:t>
            </w:r>
          </w:p>
        </w:tc>
        <w:tc>
          <w:tcPr>
            <w:tcW w:type="dxa" w:w="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00"/>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4,41</w:t>
            </w:r>
          </w:p>
        </w:tc>
        <w:tc>
          <w:tcPr>
            <w:tcW w:type="dxa" w:w="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00"/>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4,67</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00"/>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4,27</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00"/>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4,56</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00"/>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4,70</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00"/>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4,50</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00"/>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4,29</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00"/>
            <w:tcMar>
              <w:top w:type="dxa" w:w="80"/>
              <w:left w:type="dxa" w:w="80"/>
              <w:bottom w:type="dxa" w:w="80"/>
              <w:right w:type="dxa" w:w="80"/>
            </w:tcMar>
            <w:vAlign w:val="bottom"/>
          </w:tcPr>
          <w:p>
            <w:pPr>
              <w:pStyle w:val="Normale"/>
              <w:spacing w:after="0" w:line="240" w:lineRule="auto"/>
            </w:pPr>
            <w:r>
              <w:rPr>
                <w:color w:val="0f243e"/>
                <w:sz w:val="20"/>
                <w:szCs w:val="20"/>
                <w:u w:color="0f243e"/>
                <w:rtl w:val="0"/>
                <w:lang w:val="it-IT"/>
              </w:rPr>
              <w:t>:</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00"/>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4,16</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00"/>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4,08</w:t>
            </w:r>
          </w:p>
        </w:tc>
      </w:tr>
      <w:tr>
        <w:tblPrEx>
          <w:shd w:val="clear" w:color="auto" w:fill="ced7e7"/>
        </w:tblPrEx>
        <w:trPr>
          <w:trHeight w:val="230" w:hRule="atLeast"/>
        </w:trPr>
        <w:tc>
          <w:tcPr>
            <w:tcW w:type="dxa" w:w="2277"/>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pPr>
            <w:r>
              <w:rPr>
                <w:color w:val="0f243e"/>
                <w:sz w:val="20"/>
                <w:szCs w:val="20"/>
                <w:u w:color="0f243e"/>
                <w:rtl w:val="0"/>
                <w:lang w:val="it-IT"/>
              </w:rPr>
              <w:t>Lussemburgo</w:t>
            </w:r>
          </w:p>
        </w:tc>
        <w:tc>
          <w:tcPr>
            <w:tcW w:type="dxa" w:w="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3,87</w:t>
            </w:r>
          </w:p>
        </w:tc>
        <w:tc>
          <w:tcPr>
            <w:tcW w:type="dxa" w:w="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3,78</w:t>
            </w:r>
          </w:p>
        </w:tc>
        <w:tc>
          <w:tcPr>
            <w:tcW w:type="dxa" w:w="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3,41</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3,15</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pPr>
            <w:r>
              <w:rPr>
                <w:color w:val="0f243e"/>
                <w:sz w:val="20"/>
                <w:szCs w:val="20"/>
                <w:u w:color="0f243e"/>
                <w:rtl w:val="0"/>
                <w:lang w:val="it-IT"/>
              </w:rPr>
              <w:t>:</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pPr>
            <w:r>
              <w:rPr>
                <w:color w:val="0f243e"/>
                <w:sz w:val="20"/>
                <w:szCs w:val="20"/>
                <w:u w:color="0f243e"/>
                <w:rtl w:val="0"/>
                <w:lang w:val="it-IT"/>
              </w:rPr>
              <w:t>:</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pPr>
            <w:r>
              <w:rPr>
                <w:color w:val="0f243e"/>
                <w:sz w:val="20"/>
                <w:szCs w:val="20"/>
                <w:u w:color="0f243e"/>
                <w:rtl w:val="0"/>
                <w:lang w:val="it-IT"/>
              </w:rPr>
              <w:t>:</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pPr>
            <w:r>
              <w:rPr>
                <w:color w:val="0f243e"/>
                <w:sz w:val="20"/>
                <w:szCs w:val="20"/>
                <w:u w:color="0f243e"/>
                <w:rtl w:val="0"/>
                <w:lang w:val="it-IT"/>
              </w:rPr>
              <w:t>:</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4,39</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pPr>
            <w:r>
              <w:rPr>
                <w:color w:val="0f243e"/>
                <w:sz w:val="20"/>
                <w:szCs w:val="20"/>
                <w:u w:color="0f243e"/>
                <w:rtl w:val="0"/>
                <w:lang w:val="it-IT"/>
              </w:rPr>
              <w:t>:</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4,00</w:t>
            </w:r>
          </w:p>
        </w:tc>
      </w:tr>
      <w:tr>
        <w:tblPrEx>
          <w:shd w:val="clear" w:color="auto" w:fill="ced7e7"/>
        </w:tblPrEx>
        <w:trPr>
          <w:trHeight w:val="230" w:hRule="atLeast"/>
        </w:trPr>
        <w:tc>
          <w:tcPr>
            <w:tcW w:type="dxa" w:w="2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pPr>
            <w:r>
              <w:rPr>
                <w:color w:val="0f243e"/>
                <w:sz w:val="20"/>
                <w:szCs w:val="20"/>
                <w:u w:color="0f243e"/>
                <w:rtl w:val="0"/>
                <w:lang w:val="it-IT"/>
              </w:rPr>
              <w:t>Repubblica Ceca</w:t>
            </w:r>
          </w:p>
        </w:tc>
        <w:tc>
          <w:tcPr>
            <w:tcW w:type="dxa" w:w="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4,20</w:t>
            </w:r>
          </w:p>
        </w:tc>
        <w:tc>
          <w:tcPr>
            <w:tcW w:type="dxa" w:w="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4,08</w:t>
            </w:r>
          </w:p>
        </w:tc>
        <w:tc>
          <w:tcPr>
            <w:tcW w:type="dxa" w:w="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4,42</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4,05</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3,92</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4,36</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4,25</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4,51</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4,33</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3,95</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3,84</w:t>
            </w:r>
          </w:p>
        </w:tc>
      </w:tr>
      <w:tr>
        <w:tblPrEx>
          <w:shd w:val="clear" w:color="auto" w:fill="ced7e7"/>
        </w:tblPrEx>
        <w:trPr>
          <w:trHeight w:val="230" w:hRule="atLeast"/>
        </w:trPr>
        <w:tc>
          <w:tcPr>
            <w:tcW w:type="dxa" w:w="2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pPr>
            <w:r>
              <w:rPr>
                <w:color w:val="0f243e"/>
                <w:sz w:val="20"/>
                <w:szCs w:val="20"/>
                <w:u w:color="0f243e"/>
                <w:rtl w:val="0"/>
                <w:lang w:val="it-IT"/>
              </w:rPr>
              <w:t>Ungheria</w:t>
            </w:r>
          </w:p>
        </w:tc>
        <w:tc>
          <w:tcPr>
            <w:tcW w:type="dxa" w:w="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5,44</w:t>
            </w:r>
          </w:p>
        </w:tc>
        <w:tc>
          <w:tcPr>
            <w:tcW w:type="dxa" w:w="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5,46</w:t>
            </w:r>
          </w:p>
        </w:tc>
        <w:tc>
          <w:tcPr>
            <w:tcW w:type="dxa" w:w="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5,44</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5,29</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5,10</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5,12</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4,90</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4,71</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4,07</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3,98</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pPr>
            <w:r>
              <w:rPr>
                <w:color w:val="0f243e"/>
                <w:sz w:val="20"/>
                <w:szCs w:val="20"/>
                <w:u w:color="0f243e"/>
                <w:rtl w:val="0"/>
                <w:lang w:val="it-IT"/>
              </w:rPr>
              <w:t>:</w:t>
            </w:r>
          </w:p>
        </w:tc>
      </w:tr>
      <w:tr>
        <w:tblPrEx>
          <w:shd w:val="clear" w:color="auto" w:fill="ced7e7"/>
        </w:tblPrEx>
        <w:trPr>
          <w:trHeight w:val="230" w:hRule="atLeast"/>
        </w:trPr>
        <w:tc>
          <w:tcPr>
            <w:tcW w:type="dxa" w:w="2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pPr>
            <w:r>
              <w:rPr>
                <w:color w:val="0f243e"/>
                <w:sz w:val="20"/>
                <w:szCs w:val="20"/>
                <w:u w:color="0f243e"/>
                <w:rtl w:val="0"/>
                <w:lang w:val="it-IT"/>
              </w:rPr>
              <w:t>Romania</w:t>
            </w:r>
          </w:p>
        </w:tc>
        <w:tc>
          <w:tcPr>
            <w:tcW w:type="dxa" w:w="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3,28</w:t>
            </w:r>
          </w:p>
        </w:tc>
        <w:tc>
          <w:tcPr>
            <w:tcW w:type="dxa" w:w="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3,48</w:t>
            </w:r>
          </w:p>
        </w:tc>
        <w:tc>
          <w:tcPr>
            <w:tcW w:type="dxa" w:w="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pPr>
            <w:r>
              <w:rPr>
                <w:color w:val="0f243e"/>
                <w:sz w:val="20"/>
                <w:szCs w:val="20"/>
                <w:u w:color="0f243e"/>
                <w:rtl w:val="0"/>
                <w:lang w:val="it-IT"/>
              </w:rPr>
              <w:t>:</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4,25</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pPr>
            <w:r>
              <w:rPr>
                <w:color w:val="0f243e"/>
                <w:sz w:val="20"/>
                <w:szCs w:val="20"/>
                <w:u w:color="0f243e"/>
                <w:rtl w:val="0"/>
                <w:lang w:val="it-IT"/>
              </w:rPr>
              <w:t>:</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4,24</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3,53</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3,07</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2,64</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2,67</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2,75</w:t>
            </w:r>
          </w:p>
        </w:tc>
      </w:tr>
      <w:tr>
        <w:tblPrEx>
          <w:shd w:val="clear" w:color="auto" w:fill="ced7e7"/>
        </w:tblPrEx>
        <w:trPr>
          <w:trHeight w:val="250" w:hRule="atLeast"/>
        </w:trPr>
        <w:tc>
          <w:tcPr>
            <w:tcW w:type="dxa" w:w="2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pPr>
            <w:r>
              <w:rPr>
                <w:color w:val="0f243e"/>
                <w:sz w:val="20"/>
                <w:szCs w:val="20"/>
                <w:u w:color="0f243e"/>
                <w:rtl w:val="0"/>
                <w:lang w:val="it-IT"/>
              </w:rPr>
              <w:t>Grecia *</w:t>
            </w:r>
          </w:p>
        </w:tc>
        <w:tc>
          <w:tcPr>
            <w:tcW w:type="dxa" w:w="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3,83</w:t>
            </w:r>
          </w:p>
        </w:tc>
        <w:tc>
          <w:tcPr>
            <w:tcW w:type="dxa" w:w="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sz w:val="20"/>
                <w:szCs w:val="20"/>
                <w:u w:color="0f243e"/>
                <w:rtl w:val="0"/>
                <w:lang w:val="it-IT"/>
              </w:rPr>
              <w:t>4,09</w:t>
            </w:r>
          </w:p>
        </w:tc>
        <w:tc>
          <w:tcPr>
            <w:tcW w:type="dxa" w:w="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pPr>
            <w:r>
              <w:rPr>
                <w:color w:val="0f243e"/>
                <w:sz w:val="20"/>
                <w:szCs w:val="20"/>
                <w:u w:color="0f243e"/>
                <w:rtl w:val="0"/>
                <w:lang w:val="it-IT"/>
              </w:rPr>
              <w:t>:</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pPr>
            <w:r>
              <w:rPr>
                <w:color w:val="0f243e"/>
                <w:sz w:val="20"/>
                <w:szCs w:val="20"/>
                <w:u w:color="0f243e"/>
                <w:rtl w:val="0"/>
                <w:lang w:val="it-IT"/>
              </w:rPr>
              <w:t>:</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pPr>
            <w:r>
              <w:rPr>
                <w:color w:val="0f243e"/>
                <w:sz w:val="20"/>
                <w:szCs w:val="20"/>
                <w:u w:color="0f243e"/>
                <w:rtl w:val="0"/>
                <w:lang w:val="it-IT"/>
              </w:rPr>
              <w:t>:</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pPr>
            <w:r>
              <w:rPr>
                <w:color w:val="0f243e"/>
                <w:sz w:val="20"/>
                <w:szCs w:val="20"/>
                <w:u w:color="0f243e"/>
                <w:rtl w:val="0"/>
                <w:lang w:val="it-IT"/>
              </w:rPr>
              <w:t>:</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pPr>
            <w:r>
              <w:rPr>
                <w:color w:val="0f243e"/>
                <w:sz w:val="20"/>
                <w:szCs w:val="20"/>
                <w:u w:color="0f243e"/>
                <w:rtl w:val="0"/>
                <w:lang w:val="it-IT"/>
              </w:rPr>
              <w:t>:</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pPr>
            <w:r>
              <w:rPr>
                <w:color w:val="0f243e"/>
                <w:sz w:val="20"/>
                <w:szCs w:val="20"/>
                <w:u w:color="0f243e"/>
                <w:rtl w:val="0"/>
                <w:lang w:val="it-IT"/>
              </w:rPr>
              <w:t>:</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pPr>
            <w:r>
              <w:rPr>
                <w:color w:val="0f243e"/>
                <w:u w:color="0f243e"/>
                <w:rtl w:val="0"/>
                <w:lang w:val="it-IT"/>
              </w:rPr>
              <w:t> </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pPr>
            <w:r>
              <w:rPr>
                <w:color w:val="0f243e"/>
                <w:u w:color="0f243e"/>
                <w:rtl w:val="0"/>
                <w:lang w:val="it-IT"/>
              </w:rPr>
              <w:t> </w:t>
            </w:r>
          </w:p>
        </w:tc>
        <w:tc>
          <w:tcPr>
            <w:tcW w:type="dxa" w:w="7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bottom"/>
          </w:tcPr>
          <w:p>
            <w:pPr>
              <w:pStyle w:val="Normale"/>
              <w:spacing w:after="0" w:line="240" w:lineRule="auto"/>
            </w:pPr>
            <w:r>
              <w:rPr>
                <w:color w:val="0f243e"/>
                <w:u w:color="0f243e"/>
                <w:rtl w:val="0"/>
                <w:lang w:val="it-IT"/>
              </w:rPr>
              <w:t> </w:t>
            </w:r>
          </w:p>
        </w:tc>
      </w:tr>
    </w:tbl>
    <w:p>
      <w:pPr>
        <w:pStyle w:val="Normale"/>
        <w:widowControl w:val="0"/>
        <w:spacing w:after="0" w:line="240" w:lineRule="auto"/>
        <w:ind w:left="921" w:hanging="921"/>
        <w:jc w:val="center"/>
        <w:rPr>
          <w:color w:val="0f243e"/>
          <w:u w:color="0f243e"/>
        </w:rPr>
      </w:pPr>
    </w:p>
    <w:p>
      <w:pPr>
        <w:pStyle w:val="Normale"/>
        <w:spacing w:after="0"/>
        <w:rPr>
          <w:b w:val="1"/>
          <w:bCs w:val="1"/>
          <w:smallCaps w:val="1"/>
          <w:color w:val="0f243e"/>
          <w:u w:color="0f243e"/>
        </w:rPr>
      </w:pPr>
      <w:r>
        <w:rPr>
          <w:b w:val="1"/>
          <w:bCs w:val="1"/>
          <w:smallCaps w:val="1"/>
          <w:color w:val="0f243e"/>
          <w:u w:color="0f243e"/>
          <w:rtl w:val="0"/>
          <w:lang w:val="it-IT"/>
        </w:rPr>
        <w:t xml:space="preserve">    (Elaborazione UIL Scuola su dati EUROSTAT -    *</w:t>
      </w:r>
      <w:r>
        <w:rPr>
          <w:color w:val="0f243e"/>
          <w:sz w:val="20"/>
          <w:szCs w:val="20"/>
          <w:u w:color="0f243e"/>
          <w:rtl w:val="0"/>
          <w:lang w:val="it-IT"/>
        </w:rPr>
        <w:t>Dal 2005 i dati forniti dalla Grecia, dopo verifica, non vengono pi</w:t>
      </w:r>
      <w:r>
        <w:rPr>
          <w:color w:val="0f243e"/>
          <w:sz w:val="20"/>
          <w:szCs w:val="20"/>
          <w:u w:color="0f243e"/>
          <w:rtl w:val="0"/>
          <w:lang w:val="it-IT"/>
        </w:rPr>
        <w:t xml:space="preserve">ù </w:t>
      </w:r>
      <w:r>
        <w:rPr>
          <w:color w:val="0f243e"/>
          <w:sz w:val="20"/>
          <w:szCs w:val="20"/>
          <w:u w:color="0f243e"/>
          <w:rtl w:val="0"/>
          <w:lang w:val="it-IT"/>
        </w:rPr>
        <w:t>pubblicati da Eurostat e, nel 2012, ci sono problemi di riscontro anche per alcuni altri Paesi, con contenzioso in corso, che non hanno consentito ancora di determinare il dato medio europeo per quell</w:t>
      </w:r>
      <w:r>
        <w:rPr>
          <w:color w:val="0f243e"/>
          <w:sz w:val="20"/>
          <w:szCs w:val="20"/>
          <w:u w:color="0f243e"/>
          <w:rtl w:val="0"/>
          <w:lang w:val="it-IT"/>
        </w:rPr>
        <w:t>’</w:t>
      </w:r>
      <w:r>
        <w:rPr>
          <w:color w:val="0f243e"/>
          <w:sz w:val="20"/>
          <w:szCs w:val="20"/>
          <w:u w:color="0f243e"/>
          <w:rtl w:val="0"/>
          <w:lang w:val="it-IT"/>
        </w:rPr>
        <w:t xml:space="preserve">anno, ma il quadro complessivo </w:t>
      </w:r>
      <w:r>
        <w:rPr>
          <w:color w:val="0f243e"/>
          <w:sz w:val="20"/>
          <w:szCs w:val="20"/>
          <w:u w:color="0f243e"/>
          <w:rtl w:val="0"/>
          <w:lang w:val="it-IT"/>
        </w:rPr>
        <w:t xml:space="preserve">è </w:t>
      </w:r>
      <w:r>
        <w:rPr>
          <w:color w:val="0f243e"/>
          <w:sz w:val="20"/>
          <w:szCs w:val="20"/>
          <w:u w:color="0f243e"/>
          <w:rtl w:val="0"/>
          <w:lang w:val="it-IT"/>
        </w:rPr>
        <w:t>estremamente chiaro.</w:t>
      </w:r>
    </w:p>
    <w:p>
      <w:pPr>
        <w:pStyle w:val="Normale"/>
        <w:spacing w:after="0" w:line="240" w:lineRule="auto"/>
        <w:jc w:val="both"/>
        <w:rPr>
          <w:color w:val="0f243e"/>
          <w:sz w:val="24"/>
          <w:szCs w:val="24"/>
          <w:u w:color="0f243e"/>
        </w:rPr>
      </w:pPr>
    </w:p>
    <w:p>
      <w:pPr>
        <w:pStyle w:val="Normale"/>
        <w:spacing w:after="0" w:line="240" w:lineRule="auto"/>
        <w:ind w:left="567" w:right="697" w:firstLine="0"/>
        <w:jc w:val="both"/>
        <w:rPr>
          <w:b w:val="1"/>
          <w:bCs w:val="1"/>
          <w:color w:val="0f243e"/>
          <w:sz w:val="24"/>
          <w:szCs w:val="24"/>
          <w:u w:color="0f243e"/>
        </w:rPr>
      </w:pPr>
    </w:p>
    <w:p>
      <w:pPr>
        <w:pStyle w:val="Normale"/>
        <w:spacing w:after="0" w:line="240" w:lineRule="auto"/>
        <w:ind w:left="567" w:right="697" w:firstLine="0"/>
        <w:jc w:val="both"/>
        <w:rPr>
          <w:color w:val="0f243e"/>
          <w:sz w:val="24"/>
          <w:szCs w:val="24"/>
          <w:u w:color="0f243e"/>
        </w:rPr>
      </w:pPr>
      <w:r>
        <w:rPr>
          <w:b w:val="1"/>
          <w:bCs w:val="1"/>
          <w:color w:val="0f243e"/>
          <w:sz w:val="24"/>
          <w:szCs w:val="24"/>
          <w:u w:color="0f243e"/>
          <w:rtl w:val="0"/>
          <w:lang w:val="it-IT"/>
        </w:rPr>
        <w:t>Come si vede, in quasi tutti gli Stati c</w:t>
      </w:r>
      <w:r>
        <w:rPr>
          <w:b w:val="1"/>
          <w:bCs w:val="1"/>
          <w:color w:val="0f243e"/>
          <w:sz w:val="24"/>
          <w:szCs w:val="24"/>
          <w:u w:color="0f243e"/>
          <w:rtl w:val="0"/>
          <w:lang w:val="it-IT"/>
        </w:rPr>
        <w:t xml:space="preserve">’è </w:t>
      </w:r>
      <w:r>
        <w:rPr>
          <w:b w:val="1"/>
          <w:bCs w:val="1"/>
          <w:color w:val="0f243e"/>
          <w:sz w:val="24"/>
          <w:szCs w:val="24"/>
          <w:u w:color="0f243e"/>
          <w:rtl w:val="0"/>
          <w:lang w:val="it-IT"/>
        </w:rPr>
        <w:t>stata una diminuzione dal 2009/2010 in poi, e comunque l</w:t>
      </w:r>
      <w:r>
        <w:rPr>
          <w:b w:val="1"/>
          <w:bCs w:val="1"/>
          <w:color w:val="0f243e"/>
          <w:sz w:val="24"/>
          <w:szCs w:val="24"/>
          <w:u w:color="0f243e"/>
          <w:rtl w:val="0"/>
          <w:lang w:val="it-IT"/>
        </w:rPr>
        <w:t>’</w:t>
      </w:r>
      <w:r>
        <w:rPr>
          <w:b w:val="1"/>
          <w:bCs w:val="1"/>
          <w:color w:val="0f243e"/>
          <w:sz w:val="24"/>
          <w:szCs w:val="24"/>
          <w:u w:color="0f243e"/>
          <w:rtl w:val="0"/>
          <w:lang w:val="it-IT"/>
        </w:rPr>
        <w:t xml:space="preserve">Italia </w:t>
      </w:r>
      <w:r>
        <w:rPr>
          <w:b w:val="1"/>
          <w:bCs w:val="1"/>
          <w:color w:val="0f243e"/>
          <w:sz w:val="24"/>
          <w:szCs w:val="24"/>
          <w:u w:color="0f243e"/>
          <w:rtl w:val="0"/>
          <w:lang w:val="it-IT"/>
        </w:rPr>
        <w:t xml:space="preserve">– </w:t>
      </w:r>
      <w:r>
        <w:rPr>
          <w:b w:val="1"/>
          <w:bCs w:val="1"/>
          <w:color w:val="0f243e"/>
          <w:sz w:val="24"/>
          <w:szCs w:val="24"/>
          <w:u w:color="0f243e"/>
          <w:rtl w:val="0"/>
          <w:lang w:val="it-IT"/>
        </w:rPr>
        <w:t xml:space="preserve">che </w:t>
      </w:r>
      <w:r>
        <w:rPr>
          <w:b w:val="1"/>
          <w:bCs w:val="1"/>
          <w:color w:val="0f243e"/>
          <w:sz w:val="24"/>
          <w:szCs w:val="24"/>
          <w:u w:color="0f243e"/>
          <w:rtl w:val="0"/>
          <w:lang w:val="it-IT"/>
        </w:rPr>
        <w:t xml:space="preserve">è </w:t>
      </w:r>
      <w:r>
        <w:rPr>
          <w:b w:val="1"/>
          <w:bCs w:val="1"/>
          <w:color w:val="0f243e"/>
          <w:sz w:val="24"/>
          <w:szCs w:val="24"/>
          <w:u w:color="0f243e"/>
          <w:rtl w:val="0"/>
          <w:lang w:val="it-IT"/>
        </w:rPr>
        <w:t>sempre stata al di sotto della media europea</w:t>
      </w:r>
      <w:r>
        <w:rPr>
          <w:color w:val="0f243e"/>
          <w:sz w:val="24"/>
          <w:szCs w:val="24"/>
          <w:u w:color="0f243e"/>
          <w:rtl w:val="0"/>
          <w:lang w:val="it-IT"/>
        </w:rPr>
        <w:t xml:space="preserve">, passando da un differenziale di </w:t>
      </w:r>
      <w:r>
        <w:rPr>
          <w:color w:val="0f243e"/>
          <w:sz w:val="24"/>
          <w:szCs w:val="24"/>
          <w:u w:color="0f243e"/>
          <w:rtl w:val="0"/>
          <w:lang w:val="it-IT"/>
        </w:rPr>
        <w:t xml:space="preserve">– </w:t>
      </w:r>
      <w:r>
        <w:rPr>
          <w:b w:val="1"/>
          <w:bCs w:val="1"/>
          <w:color w:val="0f243e"/>
          <w:sz w:val="24"/>
          <w:szCs w:val="24"/>
          <w:u w:color="0f243e"/>
          <w:rtl w:val="0"/>
          <w:lang w:val="it-IT"/>
        </w:rPr>
        <w:t>0,39 nel 2004 ad uno di - 1,39 nel 2014</w:t>
      </w:r>
      <w:r>
        <w:rPr>
          <w:color w:val="0f243e"/>
          <w:sz w:val="24"/>
          <w:szCs w:val="24"/>
          <w:u w:color="0f243e"/>
          <w:rtl w:val="0"/>
          <w:lang w:val="it-IT"/>
        </w:rPr>
        <w:t xml:space="preserve">: </w:t>
      </w:r>
      <w:r>
        <w:rPr>
          <w:b w:val="1"/>
          <w:bCs w:val="1"/>
          <w:color w:val="0f243e"/>
          <w:sz w:val="24"/>
          <w:szCs w:val="24"/>
          <w:u w:color="0f243e"/>
          <w:rtl w:val="0"/>
          <w:lang w:val="it-IT"/>
        </w:rPr>
        <w:t>un punto percentuale in dieci anni</w:t>
      </w:r>
      <w:r>
        <w:rPr>
          <w:color w:val="0f243e"/>
          <w:sz w:val="24"/>
          <w:szCs w:val="24"/>
          <w:u w:color="0f243e"/>
          <w:rtl w:val="0"/>
          <w:lang w:val="it-IT"/>
        </w:rPr>
        <w:t xml:space="preserve">. </w:t>
      </w:r>
    </w:p>
    <w:p>
      <w:pPr>
        <w:pStyle w:val="Normale"/>
        <w:spacing w:after="0" w:line="240" w:lineRule="auto"/>
        <w:ind w:left="567" w:right="697" w:firstLine="0"/>
        <w:jc w:val="both"/>
        <w:rPr>
          <w:color w:val="0f243e"/>
          <w:sz w:val="24"/>
          <w:szCs w:val="24"/>
          <w:u w:color="0f243e"/>
        </w:rPr>
      </w:pPr>
    </w:p>
    <w:p>
      <w:pPr>
        <w:pStyle w:val="Normale"/>
        <w:spacing w:after="0" w:line="240" w:lineRule="auto"/>
        <w:ind w:left="567" w:right="697" w:firstLine="0"/>
        <w:rPr>
          <w:color w:val="0f243e"/>
          <w:sz w:val="24"/>
          <w:szCs w:val="24"/>
          <w:u w:color="0f243e"/>
        </w:rPr>
      </w:pPr>
      <w:r>
        <w:rPr>
          <w:color w:val="0f243e"/>
          <w:sz w:val="24"/>
          <w:szCs w:val="24"/>
          <w:u w:color="0f243e"/>
          <w:rtl w:val="0"/>
          <w:lang w:val="it-IT"/>
        </w:rPr>
        <w:t>Per colmare il gap occorrerebbero nuovi investimenti e risorse aggiuntive che il nostro governo dovrebbe prevedere gi</w:t>
      </w:r>
      <w:r>
        <w:rPr>
          <w:color w:val="0f243e"/>
          <w:sz w:val="24"/>
          <w:szCs w:val="24"/>
          <w:u w:color="0f243e"/>
          <w:rtl w:val="0"/>
          <w:lang w:val="it-IT"/>
        </w:rPr>
        <w:t xml:space="preserve">à </w:t>
      </w:r>
      <w:r>
        <w:rPr>
          <w:color w:val="0f243e"/>
          <w:sz w:val="24"/>
          <w:szCs w:val="24"/>
          <w:u w:color="0f243e"/>
          <w:rtl w:val="0"/>
          <w:lang w:val="it-IT"/>
        </w:rPr>
        <w:t>per il prossimo contratto scuola.</w:t>
      </w:r>
      <w:r>
        <w:rPr>
          <w:color w:val="0f243e"/>
          <w:sz w:val="24"/>
          <w:szCs w:val="24"/>
          <w:u w:color="0f243e"/>
        </w:rPr>
        <w:br w:type="textWrapping"/>
      </w:r>
      <w:r>
        <w:rPr>
          <w:color w:val="0f243e"/>
          <w:sz w:val="24"/>
          <w:szCs w:val="24"/>
          <w:u w:color="0f243e"/>
          <w:rtl w:val="0"/>
          <w:lang w:val="it-IT"/>
        </w:rPr>
        <w:t>Questo se la politica volesse davvero far seguire i fatti alle tante parole dedicate alla centralit</w:t>
      </w:r>
      <w:r>
        <w:rPr>
          <w:color w:val="0f243e"/>
          <w:sz w:val="24"/>
          <w:szCs w:val="24"/>
          <w:u w:color="0f243e"/>
          <w:rtl w:val="0"/>
          <w:lang w:val="it-IT"/>
        </w:rPr>
        <w:t xml:space="preserve">à </w:t>
      </w:r>
      <w:r>
        <w:rPr>
          <w:color w:val="0f243e"/>
          <w:sz w:val="24"/>
          <w:szCs w:val="24"/>
          <w:u w:color="0f243e"/>
          <w:rtl w:val="0"/>
          <w:lang w:val="it-IT"/>
        </w:rPr>
        <w:t>dell</w:t>
      </w:r>
      <w:r>
        <w:rPr>
          <w:color w:val="0f243e"/>
          <w:sz w:val="24"/>
          <w:szCs w:val="24"/>
          <w:u w:color="0f243e"/>
          <w:rtl w:val="0"/>
          <w:lang w:val="it-IT"/>
        </w:rPr>
        <w:t>’</w:t>
      </w:r>
      <w:r>
        <w:rPr>
          <w:color w:val="0f243e"/>
          <w:sz w:val="24"/>
          <w:szCs w:val="24"/>
          <w:u w:color="0f243e"/>
          <w:rtl w:val="0"/>
          <w:lang w:val="it-IT"/>
        </w:rPr>
        <w:t>istruzione.</w:t>
      </w:r>
    </w:p>
    <w:p>
      <w:pPr>
        <w:pStyle w:val="Normale"/>
        <w:spacing w:after="0"/>
        <w:ind w:left="567" w:right="697" w:firstLine="0"/>
        <w:rPr>
          <w:color w:val="0f243e"/>
          <w:u w:color="0f243e"/>
        </w:rPr>
      </w:pPr>
    </w:p>
    <w:p>
      <w:pPr>
        <w:pStyle w:val="Normale"/>
        <w:spacing w:after="0"/>
        <w:ind w:left="567" w:right="697" w:firstLine="0"/>
        <w:jc w:val="both"/>
        <w:rPr>
          <w:b w:val="1"/>
          <w:bCs w:val="1"/>
          <w:color w:val="0f243e"/>
          <w:sz w:val="24"/>
          <w:szCs w:val="24"/>
          <w:u w:color="0f243e"/>
        </w:rPr>
      </w:pPr>
      <w:r>
        <w:rPr>
          <w:color w:val="0f243e"/>
          <w:sz w:val="24"/>
          <w:szCs w:val="24"/>
          <w:u w:color="0f243e"/>
          <w:rtl w:val="0"/>
          <w:lang w:val="it-IT"/>
        </w:rPr>
        <w:t>Nel grafico che segue possiamo vedere l</w:t>
      </w:r>
      <w:r>
        <w:rPr>
          <w:color w:val="0f243e"/>
          <w:sz w:val="24"/>
          <w:szCs w:val="24"/>
          <w:u w:color="0f243e"/>
          <w:rtl w:val="0"/>
          <w:lang w:val="it-IT"/>
        </w:rPr>
        <w:t>’</w:t>
      </w:r>
      <w:r>
        <w:rPr>
          <w:color w:val="0f243e"/>
          <w:sz w:val="24"/>
          <w:szCs w:val="24"/>
          <w:u w:color="0f243e"/>
          <w:rtl w:val="0"/>
          <w:lang w:val="it-IT"/>
        </w:rPr>
        <w:t>andamento del raffronto con i Paesi pi</w:t>
      </w:r>
      <w:r>
        <w:rPr>
          <w:color w:val="0f243e"/>
          <w:sz w:val="24"/>
          <w:szCs w:val="24"/>
          <w:u w:color="0f243e"/>
          <w:rtl w:val="0"/>
          <w:lang w:val="it-IT"/>
        </w:rPr>
        <w:t xml:space="preserve">ù </w:t>
      </w:r>
      <w:r>
        <w:rPr>
          <w:color w:val="0f243e"/>
          <w:sz w:val="24"/>
          <w:szCs w:val="24"/>
          <w:u w:color="0f243e"/>
          <w:rtl w:val="0"/>
          <w:lang w:val="it-IT"/>
        </w:rPr>
        <w:t xml:space="preserve">simili al nostro:  </w:t>
      </w:r>
      <w:r>
        <w:rPr>
          <w:b w:val="1"/>
          <w:bCs w:val="1"/>
          <w:color w:val="0f243e"/>
          <w:sz w:val="24"/>
          <w:szCs w:val="24"/>
          <w:u w:color="0f243e"/>
          <w:rtl w:val="0"/>
          <w:lang w:val="it-IT"/>
        </w:rPr>
        <w:t>Germania, Francia, Regno Unito e Spagna.</w:t>
      </w:r>
    </w:p>
    <w:p>
      <w:pPr>
        <w:pStyle w:val="Normale"/>
        <w:spacing w:after="0"/>
        <w:jc w:val="both"/>
        <w:rPr>
          <w:color w:val="0f243e"/>
          <w:sz w:val="24"/>
          <w:szCs w:val="24"/>
          <w:u w:color="0f243e"/>
        </w:rPr>
      </w:pPr>
    </w:p>
    <w:p>
      <w:pPr>
        <w:pStyle w:val="Normale"/>
        <w:spacing w:after="0"/>
        <w:jc w:val="center"/>
      </w:pPr>
      <w:r>
        <w:rPr>
          <w:color w:val="0f243e"/>
          <w:u w:color="0f243e"/>
        </w:rPr>
        <mc:AlternateContent>
          <mc:Choice Requires="wps">
            <w:drawing>
              <wp:anchor distT="0" distB="0" distL="0" distR="0" simplePos="0" relativeHeight="251659264" behindDoc="0" locked="0" layoutInCell="1" allowOverlap="1">
                <wp:simplePos x="0" y="0"/>
                <wp:positionH relativeFrom="column">
                  <wp:posOffset>4562300</wp:posOffset>
                </wp:positionH>
                <wp:positionV relativeFrom="line">
                  <wp:posOffset>538842</wp:posOffset>
                </wp:positionV>
                <wp:extent cx="1059181" cy="83821"/>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1059181" cy="83821"/>
                        </a:xfrm>
                        <a:prstGeom prst="line">
                          <a:avLst/>
                        </a:prstGeom>
                        <a:noFill/>
                        <a:ln w="28575" cap="flat">
                          <a:solidFill>
                            <a:srgbClr val="C00000"/>
                          </a:solidFill>
                          <a:prstDash val="dash"/>
                          <a:round/>
                        </a:ln>
                        <a:effectLst/>
                      </wps:spPr>
                      <wps:bodyPr/>
                    </wps:wsp>
                  </a:graphicData>
                </a:graphic>
              </wp:anchor>
            </w:drawing>
          </mc:Choice>
          <mc:Fallback>
            <w:pict>
              <v:line id="_x0000_s1026" style="visibility:visible;position:absolute;margin-left:359.2pt;margin-top:42.4pt;width:83.4pt;height:6.6pt;z-index:251659264;mso-position-horizontal:absolute;mso-position-horizontal-relative:text;mso-position-vertical:absolute;mso-position-vertical-relative:line;mso-wrap-distance-left:0.0pt;mso-wrap-distance-top:0.0pt;mso-wrap-distance-right:0.0pt;mso-wrap-distance-bottom:0.0pt;">
                <v:fill on="f"/>
                <v:stroke filltype="solid" color="#C00000" opacity="100.0%" weight="2.2pt" dashstyle="dash" endcap="flat" joinstyle="round" linestyle="single" startarrow="none" startarrowwidth="medium" startarrowlength="medium" endarrow="none" endarrowwidth="medium" endarrowlength="medium"/>
                <w10:wrap type="none" side="bothSides" anchorx="text"/>
              </v:line>
            </w:pict>
          </mc:Fallback>
        </mc:AlternateContent>
      </w:r>
      <w:r>
        <w:drawing>
          <wp:inline distT="0" distB="0" distL="0" distR="0">
            <wp:extent cx="6085734" cy="3129084"/>
            <wp:effectExtent l="0" t="0" r="0" b="0"/>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image.png"/>
                    <pic:cNvPicPr>
                      <a:picLocks noChangeAspect="1"/>
                    </pic:cNvPicPr>
                  </pic:nvPicPr>
                  <pic:blipFill>
                    <a:blip r:embed="rId7">
                      <a:extLst/>
                    </a:blip>
                    <a:srcRect l="0" t="0" r="0" b="0"/>
                    <a:stretch>
                      <a:fillRect/>
                    </a:stretch>
                  </pic:blipFill>
                  <pic:spPr>
                    <a:xfrm>
                      <a:off x="0" y="0"/>
                      <a:ext cx="6085734" cy="3129084"/>
                    </a:xfrm>
                    <a:prstGeom prst="rect">
                      <a:avLst/>
                    </a:prstGeom>
                    <a:ln w="12700" cap="flat">
                      <a:noFill/>
                      <a:miter lim="400000"/>
                    </a:ln>
                    <a:effectLst/>
                  </pic:spPr>
                </pic:pic>
              </a:graphicData>
            </a:graphic>
          </wp:inline>
        </w:drawing>
      </w:r>
    </w:p>
    <w:p>
      <w:pPr>
        <w:pStyle w:val="Normale"/>
        <w:spacing w:after="0"/>
        <w:rPr>
          <w:sz w:val="24"/>
          <w:szCs w:val="24"/>
        </w:rPr>
      </w:pPr>
    </w:p>
    <w:p>
      <w:pPr>
        <w:pStyle w:val="Normale"/>
        <w:spacing w:after="0"/>
        <w:ind w:left="567" w:right="981" w:firstLine="0"/>
        <w:jc w:val="both"/>
        <w:rPr>
          <w:b w:val="1"/>
          <w:bCs w:val="1"/>
          <w:sz w:val="24"/>
          <w:szCs w:val="24"/>
        </w:rPr>
      </w:pPr>
    </w:p>
    <w:p>
      <w:pPr>
        <w:pStyle w:val="Normale"/>
        <w:spacing w:after="0"/>
        <w:ind w:left="567" w:right="981" w:firstLine="0"/>
        <w:jc w:val="both"/>
        <w:rPr>
          <w:color w:val="0f243e"/>
          <w:sz w:val="24"/>
          <w:szCs w:val="24"/>
          <w:u w:color="0f243e"/>
        </w:rPr>
      </w:pPr>
      <w:r>
        <w:rPr>
          <w:b w:val="1"/>
          <w:bCs w:val="1"/>
          <w:color w:val="0f243e"/>
          <w:sz w:val="24"/>
          <w:szCs w:val="24"/>
          <w:u w:color="0f243e"/>
          <w:rtl w:val="0"/>
          <w:lang w:val="it-IT"/>
        </w:rPr>
        <w:t>L</w:t>
      </w:r>
      <w:r>
        <w:rPr>
          <w:b w:val="1"/>
          <w:bCs w:val="1"/>
          <w:color w:val="0f243e"/>
          <w:sz w:val="24"/>
          <w:szCs w:val="24"/>
          <w:u w:color="0f243e"/>
          <w:rtl w:val="0"/>
          <w:lang w:val="it-IT"/>
        </w:rPr>
        <w:t>’</w:t>
      </w:r>
      <w:r>
        <w:rPr>
          <w:b w:val="1"/>
          <w:bCs w:val="1"/>
          <w:color w:val="0f243e"/>
          <w:sz w:val="24"/>
          <w:szCs w:val="24"/>
          <w:u w:color="0f243e"/>
          <w:rtl w:val="0"/>
          <w:lang w:val="it-IT"/>
        </w:rPr>
        <w:t xml:space="preserve">Italia </w:t>
      </w:r>
      <w:r>
        <w:rPr>
          <w:b w:val="1"/>
          <w:bCs w:val="1"/>
          <w:color w:val="0f243e"/>
          <w:sz w:val="24"/>
          <w:szCs w:val="24"/>
          <w:u w:color="0f243e"/>
          <w:rtl w:val="0"/>
          <w:lang w:val="it-IT"/>
        </w:rPr>
        <w:t xml:space="preserve">è </w:t>
      </w:r>
      <w:r>
        <w:rPr>
          <w:b w:val="1"/>
          <w:bCs w:val="1"/>
          <w:color w:val="0f243e"/>
          <w:sz w:val="24"/>
          <w:szCs w:val="24"/>
          <w:u w:color="0f243e"/>
          <w:rtl w:val="0"/>
          <w:lang w:val="it-IT"/>
        </w:rPr>
        <w:t>al livello pi</w:t>
      </w:r>
      <w:r>
        <w:rPr>
          <w:b w:val="1"/>
          <w:bCs w:val="1"/>
          <w:color w:val="0f243e"/>
          <w:sz w:val="24"/>
          <w:szCs w:val="24"/>
          <w:u w:color="0f243e"/>
          <w:rtl w:val="0"/>
          <w:lang w:val="it-IT"/>
        </w:rPr>
        <w:t xml:space="preserve">ù </w:t>
      </w:r>
      <w:r>
        <w:rPr>
          <w:b w:val="1"/>
          <w:bCs w:val="1"/>
          <w:color w:val="0f243e"/>
          <w:sz w:val="24"/>
          <w:szCs w:val="24"/>
          <w:u w:color="0f243e"/>
          <w:rtl w:val="0"/>
          <w:lang w:val="it-IT"/>
        </w:rPr>
        <w:t>basso, insieme alla Spagna, al di sotto della Germania</w:t>
      </w:r>
      <w:r>
        <w:rPr>
          <w:color w:val="0f243e"/>
          <w:sz w:val="24"/>
          <w:szCs w:val="24"/>
          <w:u w:color="0f243e"/>
          <w:rtl w:val="0"/>
          <w:lang w:val="it-IT"/>
        </w:rPr>
        <w:t xml:space="preserve"> (che </w:t>
      </w:r>
      <w:r>
        <w:rPr>
          <w:color w:val="0f243e"/>
          <w:sz w:val="24"/>
          <w:szCs w:val="24"/>
          <w:u w:color="0f243e"/>
          <w:rtl w:val="0"/>
          <w:lang w:val="it-IT"/>
        </w:rPr>
        <w:t xml:space="preserve">è </w:t>
      </w:r>
      <w:r>
        <w:rPr>
          <w:color w:val="0f243e"/>
          <w:sz w:val="24"/>
          <w:szCs w:val="24"/>
          <w:u w:color="0f243e"/>
          <w:rtl w:val="0"/>
          <w:lang w:val="it-IT"/>
        </w:rPr>
        <w:t>comunque di mezzo  punto sotto la media Europea, e ben pi</w:t>
      </w:r>
      <w:r>
        <w:rPr>
          <w:color w:val="0f243e"/>
          <w:sz w:val="24"/>
          <w:szCs w:val="24"/>
          <w:u w:color="0f243e"/>
          <w:rtl w:val="0"/>
          <w:lang w:val="it-IT"/>
        </w:rPr>
        <w:t xml:space="preserve">ù </w:t>
      </w:r>
      <w:r>
        <w:rPr>
          <w:color w:val="0f243e"/>
          <w:sz w:val="24"/>
          <w:szCs w:val="24"/>
          <w:u w:color="0f243e"/>
          <w:rtl w:val="0"/>
          <w:lang w:val="it-IT"/>
        </w:rPr>
        <w:t xml:space="preserve">in basso di Francia e Regno Unito) che investono rispettivamente mezzo punto e quasi un punto sopra la media. </w:t>
      </w:r>
    </w:p>
    <w:p>
      <w:pPr>
        <w:pStyle w:val="Normale"/>
        <w:spacing w:after="0"/>
        <w:ind w:left="567" w:right="981" w:firstLine="0"/>
        <w:jc w:val="both"/>
        <w:rPr>
          <w:color w:val="0f243e"/>
          <w:sz w:val="24"/>
          <w:szCs w:val="24"/>
          <w:u w:color="0f243e"/>
        </w:rPr>
      </w:pPr>
    </w:p>
    <w:p>
      <w:pPr>
        <w:pStyle w:val="Normale"/>
        <w:spacing w:after="0"/>
        <w:ind w:left="567" w:right="981" w:firstLine="0"/>
        <w:jc w:val="both"/>
        <w:rPr>
          <w:color w:val="0f243e"/>
          <w:sz w:val="24"/>
          <w:szCs w:val="24"/>
          <w:u w:color="0f243e"/>
        </w:rPr>
      </w:pPr>
      <w:r>
        <w:rPr>
          <w:color w:val="0f243e"/>
          <w:sz w:val="24"/>
          <w:szCs w:val="24"/>
          <w:u w:color="0f243e"/>
          <w:rtl w:val="0"/>
          <w:lang w:val="it-IT"/>
        </w:rPr>
        <w:t xml:space="preserve">Se poi prendiamo in esame anche </w:t>
      </w:r>
      <w:r>
        <w:rPr>
          <w:b w:val="1"/>
          <w:bCs w:val="1"/>
          <w:color w:val="0f243e"/>
          <w:sz w:val="24"/>
          <w:szCs w:val="24"/>
          <w:u w:color="0f243e"/>
          <w:rtl w:val="0"/>
          <w:lang w:val="it-IT"/>
        </w:rPr>
        <w:t>l</w:t>
      </w:r>
      <w:r>
        <w:rPr>
          <w:b w:val="1"/>
          <w:bCs w:val="1"/>
          <w:color w:val="0f243e"/>
          <w:sz w:val="24"/>
          <w:szCs w:val="24"/>
          <w:u w:color="0f243e"/>
          <w:rtl w:val="0"/>
          <w:lang w:val="it-IT"/>
        </w:rPr>
        <w:t>’</w:t>
      </w:r>
      <w:r>
        <w:rPr>
          <w:b w:val="1"/>
          <w:bCs w:val="1"/>
          <w:color w:val="0f243e"/>
          <w:sz w:val="24"/>
          <w:szCs w:val="24"/>
          <w:u w:color="0f243e"/>
          <w:rtl w:val="0"/>
          <w:lang w:val="it-IT"/>
        </w:rPr>
        <w:t>apporto dei privati al finanziamento dell</w:t>
      </w:r>
      <w:r>
        <w:rPr>
          <w:b w:val="1"/>
          <w:bCs w:val="1"/>
          <w:color w:val="0f243e"/>
          <w:sz w:val="24"/>
          <w:szCs w:val="24"/>
          <w:u w:color="0f243e"/>
          <w:rtl w:val="0"/>
          <w:lang w:val="it-IT"/>
        </w:rPr>
        <w:t>’</w:t>
      </w:r>
      <w:r>
        <w:rPr>
          <w:b w:val="1"/>
          <w:bCs w:val="1"/>
          <w:color w:val="0f243e"/>
          <w:sz w:val="24"/>
          <w:szCs w:val="24"/>
          <w:u w:color="0f243e"/>
          <w:rtl w:val="0"/>
          <w:lang w:val="it-IT"/>
        </w:rPr>
        <w:t>istruzione</w:t>
      </w:r>
      <w:r>
        <w:rPr>
          <w:color w:val="0f243e"/>
          <w:sz w:val="24"/>
          <w:szCs w:val="24"/>
          <w:u w:color="0f243e"/>
          <w:rtl w:val="0"/>
          <w:lang w:val="it-IT"/>
        </w:rPr>
        <w:t>, secondo i dati forniti dall</w:t>
      </w:r>
      <w:r>
        <w:rPr>
          <w:color w:val="0f243e"/>
          <w:sz w:val="24"/>
          <w:szCs w:val="24"/>
          <w:u w:color="0f243e"/>
          <w:rtl w:val="0"/>
          <w:lang w:val="it-IT"/>
        </w:rPr>
        <w:t>’</w:t>
      </w:r>
      <w:r>
        <w:rPr>
          <w:color w:val="0f243e"/>
          <w:sz w:val="24"/>
          <w:szCs w:val="24"/>
          <w:u w:color="0f243e"/>
          <w:rtl w:val="0"/>
          <w:lang w:val="it-IT"/>
        </w:rPr>
        <w:t>OCSE per il 2014 (Regards sur l</w:t>
      </w:r>
      <w:r>
        <w:rPr>
          <w:color w:val="0f243e"/>
          <w:sz w:val="24"/>
          <w:szCs w:val="24"/>
          <w:u w:color="0f243e"/>
          <w:rtl w:val="0"/>
          <w:lang w:val="it-IT"/>
        </w:rPr>
        <w:t>’é</w:t>
      </w:r>
      <w:r>
        <w:rPr>
          <w:color w:val="0f243e"/>
          <w:sz w:val="24"/>
          <w:szCs w:val="24"/>
          <w:u w:color="0f243e"/>
          <w:rtl w:val="0"/>
          <w:lang w:val="it-IT"/>
        </w:rPr>
        <w:t xml:space="preserve">ducation 2017, pag. 197), la situazione per noi peggiora ulteriormente in quanto i nostri diretti </w:t>
      </w:r>
      <w:r>
        <w:rPr>
          <w:i w:val="1"/>
          <w:iCs w:val="1"/>
          <w:color w:val="0f243e"/>
          <w:sz w:val="24"/>
          <w:szCs w:val="24"/>
          <w:u w:color="0f243e"/>
          <w:rtl w:val="0"/>
          <w:lang w:val="it-IT"/>
        </w:rPr>
        <w:t>competitors</w:t>
      </w:r>
      <w:r>
        <w:rPr>
          <w:color w:val="0f243e"/>
          <w:sz w:val="24"/>
          <w:szCs w:val="24"/>
          <w:u w:color="0f243e"/>
          <w:rtl w:val="0"/>
          <w:lang w:val="it-IT"/>
        </w:rPr>
        <w:t xml:space="preserve">  risalgono </w:t>
      </w:r>
      <w:r>
        <w:rPr>
          <w:color w:val="0f243e"/>
          <w:sz w:val="24"/>
          <w:szCs w:val="24"/>
          <w:u w:color="0f243e"/>
          <w:rtl w:val="0"/>
          <w:lang w:val="it-IT"/>
        </w:rPr>
        <w:t>“</w:t>
      </w:r>
      <w:r>
        <w:rPr>
          <w:color w:val="0f243e"/>
          <w:sz w:val="24"/>
          <w:szCs w:val="24"/>
          <w:u w:color="0f243e"/>
          <w:rtl w:val="0"/>
          <w:lang w:val="it-IT"/>
        </w:rPr>
        <w:t>la classifica</w:t>
      </w:r>
      <w:r>
        <w:rPr>
          <w:color w:val="0f243e"/>
          <w:sz w:val="24"/>
          <w:szCs w:val="24"/>
          <w:u w:color="0f243e"/>
          <w:rtl w:val="0"/>
          <w:lang w:val="it-IT"/>
        </w:rPr>
        <w:t>”</w:t>
      </w:r>
      <w:r>
        <w:rPr>
          <w:color w:val="0f243e"/>
          <w:sz w:val="24"/>
          <w:szCs w:val="24"/>
          <w:u w:color="0f243e"/>
          <w:rtl w:val="0"/>
          <w:lang w:val="it-IT"/>
        </w:rPr>
        <w:t>: la Francia di mezzo punto, la Francia e la Germania un po</w:t>
      </w:r>
      <w:r>
        <w:rPr>
          <w:color w:val="0f243e"/>
          <w:sz w:val="24"/>
          <w:szCs w:val="24"/>
          <w:u w:color="0f243e"/>
          <w:rtl w:val="0"/>
          <w:lang w:val="it-IT"/>
        </w:rPr>
        <w:t xml:space="preserve">’ </w:t>
      </w:r>
      <w:r>
        <w:rPr>
          <w:color w:val="0f243e"/>
          <w:sz w:val="24"/>
          <w:szCs w:val="24"/>
          <w:u w:color="0f243e"/>
          <w:rtl w:val="0"/>
          <w:lang w:val="it-IT"/>
        </w:rPr>
        <w:t>di pi</w:t>
      </w:r>
      <w:r>
        <w:rPr>
          <w:color w:val="0f243e"/>
          <w:sz w:val="24"/>
          <w:szCs w:val="24"/>
          <w:u w:color="0f243e"/>
          <w:rtl w:val="0"/>
          <w:lang w:val="it-IT"/>
        </w:rPr>
        <w:t xml:space="preserve">ù </w:t>
      </w:r>
      <w:r>
        <w:rPr>
          <w:color w:val="0f243e"/>
          <w:sz w:val="24"/>
          <w:szCs w:val="24"/>
          <w:u w:color="0f243e"/>
          <w:rtl w:val="0"/>
          <w:lang w:val="it-IT"/>
        </w:rPr>
        <w:t xml:space="preserve">(rispettivamente 0,5 e 0,6), la Spagna di 0,7 e il Regno Unito di quasi 2 punti (0,9). </w:t>
      </w:r>
      <w:r>
        <w:rPr>
          <w:color w:val="0f243e"/>
          <w:sz w:val="24"/>
          <w:szCs w:val="24"/>
          <w:u w:color="0f243e"/>
        </w:rPr>
        <w:br w:type="textWrapping"/>
      </w:r>
      <w:r>
        <w:rPr>
          <w:color w:val="0f243e"/>
          <w:sz w:val="24"/>
          <w:szCs w:val="24"/>
          <w:u w:color="0f243e"/>
          <w:rtl w:val="0"/>
          <w:lang w:val="it-IT"/>
        </w:rPr>
        <w:t>In Italia l</w:t>
      </w:r>
      <w:r>
        <w:rPr>
          <w:color w:val="0f243e"/>
          <w:sz w:val="24"/>
          <w:szCs w:val="24"/>
          <w:u w:color="0f243e"/>
          <w:rtl w:val="0"/>
          <w:lang w:val="it-IT"/>
        </w:rPr>
        <w:t>’</w:t>
      </w:r>
      <w:r>
        <w:rPr>
          <w:color w:val="0f243e"/>
          <w:sz w:val="24"/>
          <w:szCs w:val="24"/>
          <w:u w:color="0f243e"/>
          <w:rtl w:val="0"/>
          <w:lang w:val="it-IT"/>
        </w:rPr>
        <w:t xml:space="preserve">apporto dei privati </w:t>
      </w:r>
      <w:r>
        <w:rPr>
          <w:b w:val="1"/>
          <w:bCs w:val="1"/>
          <w:color w:val="0f243e"/>
          <w:sz w:val="24"/>
          <w:szCs w:val="24"/>
          <w:u w:color="0f243e"/>
          <w:rtl w:val="0"/>
          <w:lang w:val="it-IT"/>
        </w:rPr>
        <w:t>si ferma a meno di mezzo  punto (0,4),</w:t>
      </w:r>
      <w:r>
        <w:rPr>
          <w:color w:val="0f243e"/>
          <w:sz w:val="24"/>
          <w:szCs w:val="24"/>
          <w:u w:color="0f243e"/>
          <w:rtl w:val="0"/>
          <w:lang w:val="it-IT"/>
        </w:rPr>
        <w:t xml:space="preserve"> confermando la loro vocazione pi</w:t>
      </w:r>
      <w:r>
        <w:rPr>
          <w:color w:val="0f243e"/>
          <w:sz w:val="24"/>
          <w:szCs w:val="24"/>
          <w:u w:color="0f243e"/>
          <w:rtl w:val="0"/>
          <w:lang w:val="it-IT"/>
        </w:rPr>
        <w:t xml:space="preserve">ù </w:t>
      </w:r>
      <w:r>
        <w:rPr>
          <w:color w:val="0f243e"/>
          <w:sz w:val="24"/>
          <w:szCs w:val="24"/>
          <w:u w:color="0f243e"/>
          <w:rtl w:val="0"/>
          <w:lang w:val="it-IT"/>
        </w:rPr>
        <w:t>a chiedere finanziamenti che ad investire loro risorse.</w:t>
      </w:r>
    </w:p>
    <w:p>
      <w:pPr>
        <w:pStyle w:val="Normale"/>
        <w:spacing w:after="0"/>
        <w:ind w:left="567" w:right="981" w:firstLine="0"/>
        <w:jc w:val="both"/>
      </w:pPr>
    </w:p>
    <w:p>
      <w:pPr>
        <w:pStyle w:val="Normale"/>
        <w:spacing w:after="0"/>
        <w:ind w:left="567" w:right="981" w:firstLine="0"/>
        <w:jc w:val="center"/>
        <w:rPr>
          <w:color w:val="0f243e"/>
          <w:sz w:val="40"/>
          <w:szCs w:val="40"/>
          <w:u w:color="0f243e"/>
        </w:rPr>
      </w:pPr>
      <w:r>
        <w:rPr>
          <w:b w:val="1"/>
          <w:bCs w:val="1"/>
          <w:color w:val="0f243e"/>
          <w:sz w:val="40"/>
          <w:szCs w:val="40"/>
          <w:u w:color="0f243e"/>
          <w:rtl w:val="0"/>
          <w:lang w:val="it-IT"/>
        </w:rPr>
        <w:t xml:space="preserve">Spese pubbliche per l'istruzione </w:t>
      </w:r>
      <w:r>
        <w:rPr>
          <w:b w:val="1"/>
          <w:bCs w:val="1"/>
          <w:color w:val="0f243e"/>
          <w:sz w:val="40"/>
          <w:szCs w:val="40"/>
          <w:u w:color="0f243e"/>
        </w:rPr>
        <w:br w:type="textWrapping"/>
      </w:r>
      <w:r>
        <w:rPr>
          <w:color w:val="0f243e"/>
          <w:sz w:val="40"/>
          <w:szCs w:val="40"/>
          <w:u w:color="0f243e"/>
          <w:rtl w:val="0"/>
          <w:lang w:val="it-IT"/>
        </w:rPr>
        <w:t>in rapporto alle spese pubbliche totali</w:t>
      </w:r>
    </w:p>
    <w:p>
      <w:pPr>
        <w:pStyle w:val="Normale"/>
        <w:spacing w:after="0"/>
        <w:ind w:left="567" w:right="981" w:firstLine="0"/>
        <w:jc w:val="both"/>
        <w:rPr>
          <w:sz w:val="24"/>
          <w:szCs w:val="24"/>
        </w:rPr>
      </w:pPr>
    </w:p>
    <w:p>
      <w:pPr>
        <w:pStyle w:val="Normale"/>
        <w:spacing w:after="0"/>
        <w:ind w:left="567" w:right="981" w:firstLine="0"/>
        <w:jc w:val="both"/>
        <w:rPr>
          <w:color w:val="0f243e"/>
          <w:u w:color="0f243e"/>
        </w:rPr>
      </w:pPr>
      <w:r>
        <w:rPr>
          <w:color w:val="0f243e"/>
          <w:sz w:val="24"/>
          <w:szCs w:val="24"/>
          <w:u w:color="0f243e"/>
          <w:rtl w:val="0"/>
          <w:lang w:val="it-IT"/>
        </w:rPr>
        <w:t xml:space="preserve">Un altro indicatore interessante </w:t>
      </w:r>
      <w:r>
        <w:rPr>
          <w:color w:val="0f243e"/>
          <w:sz w:val="24"/>
          <w:szCs w:val="24"/>
          <w:u w:color="0f243e"/>
          <w:rtl w:val="0"/>
          <w:lang w:val="it-IT"/>
        </w:rPr>
        <w:t xml:space="preserve">è </w:t>
      </w:r>
      <w:r>
        <w:rPr>
          <w:color w:val="0f243e"/>
          <w:sz w:val="24"/>
          <w:szCs w:val="24"/>
          <w:u w:color="0f243e"/>
          <w:rtl w:val="0"/>
          <w:lang w:val="it-IT"/>
        </w:rPr>
        <w:t>quello relativo alla percentuale di spese per l</w:t>
      </w:r>
      <w:r>
        <w:rPr>
          <w:color w:val="0f243e"/>
          <w:sz w:val="24"/>
          <w:szCs w:val="24"/>
          <w:u w:color="0f243e"/>
          <w:rtl w:val="0"/>
          <w:lang w:val="it-IT"/>
        </w:rPr>
        <w:t>’</w:t>
      </w:r>
      <w:r>
        <w:rPr>
          <w:color w:val="0f243e"/>
          <w:sz w:val="24"/>
          <w:szCs w:val="24"/>
          <w:u w:color="0f243e"/>
          <w:rtl w:val="0"/>
          <w:lang w:val="it-IT"/>
        </w:rPr>
        <w:t>istruzione rispetto alle spese totali dello Stato (e non della complessiva ricchezza del Paese, come il dato riferito al PIL): tra i paesi dell</w:t>
      </w:r>
      <w:r>
        <w:rPr>
          <w:color w:val="0f243e"/>
          <w:sz w:val="24"/>
          <w:szCs w:val="24"/>
          <w:u w:color="0f243e"/>
          <w:rtl w:val="0"/>
          <w:lang w:val="it-IT"/>
        </w:rPr>
        <w:t>’</w:t>
      </w:r>
      <w:r>
        <w:rPr>
          <w:color w:val="0f243e"/>
          <w:sz w:val="24"/>
          <w:szCs w:val="24"/>
          <w:u w:color="0f243e"/>
          <w:rtl w:val="0"/>
          <w:lang w:val="it-IT"/>
        </w:rPr>
        <w:t>UE censiti dall</w:t>
      </w:r>
      <w:r>
        <w:rPr>
          <w:color w:val="0f243e"/>
          <w:sz w:val="24"/>
          <w:szCs w:val="24"/>
          <w:u w:color="0f243e"/>
          <w:rtl w:val="0"/>
          <w:lang w:val="it-IT"/>
        </w:rPr>
        <w:t>’</w:t>
      </w:r>
      <w:r>
        <w:rPr>
          <w:color w:val="0f243e"/>
          <w:sz w:val="24"/>
          <w:szCs w:val="24"/>
          <w:u w:color="0f243e"/>
          <w:rtl w:val="0"/>
          <w:lang w:val="it-IT"/>
        </w:rPr>
        <w:t xml:space="preserve">OCSE </w:t>
      </w:r>
      <w:r>
        <w:rPr>
          <w:b w:val="1"/>
          <w:bCs w:val="1"/>
          <w:color w:val="0f243e"/>
          <w:sz w:val="24"/>
          <w:szCs w:val="24"/>
          <w:u w:color="0f243e"/>
          <w:rtl w:val="0"/>
          <w:lang w:val="it-IT"/>
        </w:rPr>
        <w:t>l</w:t>
      </w:r>
      <w:r>
        <w:rPr>
          <w:b w:val="1"/>
          <w:bCs w:val="1"/>
          <w:color w:val="0f243e"/>
          <w:sz w:val="24"/>
          <w:szCs w:val="24"/>
          <w:u w:color="0f243e"/>
          <w:rtl w:val="0"/>
          <w:lang w:val="it-IT"/>
        </w:rPr>
        <w:t>’</w:t>
      </w:r>
      <w:r>
        <w:rPr>
          <w:b w:val="1"/>
          <w:bCs w:val="1"/>
          <w:color w:val="0f243e"/>
          <w:sz w:val="24"/>
          <w:szCs w:val="24"/>
          <w:u w:color="0f243e"/>
          <w:rtl w:val="0"/>
          <w:lang w:val="it-IT"/>
        </w:rPr>
        <w:t>Italia, col suo 5,4%, si situa al penultimo posto, prima dell</w:t>
      </w:r>
      <w:r>
        <w:rPr>
          <w:b w:val="1"/>
          <w:bCs w:val="1"/>
          <w:color w:val="0f243e"/>
          <w:sz w:val="24"/>
          <w:szCs w:val="24"/>
          <w:u w:color="0f243e"/>
          <w:rtl w:val="0"/>
          <w:lang w:val="it-IT"/>
        </w:rPr>
        <w:t>’</w:t>
      </w:r>
      <w:r>
        <w:rPr>
          <w:b w:val="1"/>
          <w:bCs w:val="1"/>
          <w:color w:val="0f243e"/>
          <w:sz w:val="24"/>
          <w:szCs w:val="24"/>
          <w:u w:color="0f243e"/>
          <w:rtl w:val="0"/>
          <w:lang w:val="it-IT"/>
        </w:rPr>
        <w:t>Ungheria, e ben lontano dalla media europea del 7,09%</w:t>
      </w:r>
      <w:r>
        <w:rPr>
          <w:color w:val="0f243e"/>
          <w:sz w:val="24"/>
          <w:szCs w:val="24"/>
          <w:u w:color="0f243e"/>
          <w:rtl w:val="0"/>
          <w:lang w:val="it-IT"/>
        </w:rPr>
        <w:t>.</w:t>
      </w:r>
      <w:r>
        <w:rPr>
          <w:color w:val="0f243e"/>
          <w:sz w:val="24"/>
          <w:szCs w:val="24"/>
          <w:u w:color="0f243e"/>
        </w:rPr>
        <w:br w:type="textWrapping"/>
      </w:r>
      <w:r>
        <w:rPr>
          <w:color w:val="0f243e"/>
          <w:sz w:val="24"/>
          <w:szCs w:val="24"/>
          <w:u w:color="0f243e"/>
          <w:rtl w:val="0"/>
          <w:lang w:val="it-IT"/>
        </w:rPr>
        <w:t>Investiamo nella scuola circa due punti in meno rispetto a quanto fanno gli altri paesi, risultato di politiche che hanno contratto le spese per la scuola pi</w:t>
      </w:r>
      <w:r>
        <w:rPr>
          <w:color w:val="0f243e"/>
          <w:sz w:val="24"/>
          <w:szCs w:val="24"/>
          <w:u w:color="0f243e"/>
          <w:rtl w:val="0"/>
          <w:lang w:val="it-IT"/>
        </w:rPr>
        <w:t xml:space="preserve">ù </w:t>
      </w:r>
      <w:r>
        <w:rPr>
          <w:color w:val="0f243e"/>
          <w:sz w:val="24"/>
          <w:szCs w:val="24"/>
          <w:u w:color="0f243e"/>
          <w:rtl w:val="0"/>
          <w:lang w:val="it-IT"/>
        </w:rPr>
        <w:t>delle altri settori della spesa pubblica. Una doppia penalizzazione.</w:t>
      </w:r>
    </w:p>
    <w:p>
      <w:pPr>
        <w:pStyle w:val="Normale"/>
        <w:spacing w:after="0"/>
        <w:ind w:right="981"/>
        <w:jc w:val="both"/>
        <w:rPr>
          <w:color w:val="0f243e"/>
          <w:u w:color="0f243e"/>
        </w:rPr>
      </w:pPr>
    </w:p>
    <w:p>
      <w:pPr>
        <w:pStyle w:val="Normale"/>
        <w:spacing w:after="0"/>
        <w:ind w:left="567" w:right="981" w:firstLine="0"/>
        <w:jc w:val="both"/>
      </w:pPr>
    </w:p>
    <w:tbl>
      <w:tblPr>
        <w:tblW w:w="815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488"/>
        <w:gridCol w:w="1417"/>
        <w:gridCol w:w="1560"/>
        <w:gridCol w:w="1645"/>
        <w:gridCol w:w="2048"/>
      </w:tblGrid>
      <w:tr>
        <w:tblPrEx>
          <w:shd w:val="clear" w:color="auto" w:fill="ced7e7"/>
        </w:tblPrEx>
        <w:trPr>
          <w:trHeight w:val="660" w:hRule="atLeast"/>
        </w:trPr>
        <w:tc>
          <w:tcPr>
            <w:tcW w:type="dxa" w:w="8158"/>
            <w:gridSpan w:val="5"/>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center"/>
            </w:pPr>
            <w:r>
              <w:rPr>
                <w:color w:val="0f243e"/>
                <w:sz w:val="28"/>
                <w:szCs w:val="28"/>
                <w:u w:color="0f243e"/>
                <w:rtl w:val="0"/>
                <w:lang w:val="it-IT"/>
              </w:rPr>
              <w:t>Spese pubbliche per l'istruzione in rapporto alla spese pubbliche totali</w:t>
            </w:r>
          </w:p>
        </w:tc>
      </w:tr>
      <w:tr>
        <w:tblPrEx>
          <w:shd w:val="clear" w:color="auto" w:fill="ced7e7"/>
        </w:tblPrEx>
        <w:trPr>
          <w:trHeight w:val="340" w:hRule="atLeast"/>
        </w:trPr>
        <w:tc>
          <w:tcPr>
            <w:tcW w:type="dxa" w:w="8158"/>
            <w:gridSpan w:val="5"/>
            <w:tcBorders>
              <w:top w:val="nil"/>
              <w:left w:val="nil"/>
              <w:bottom w:val="nil"/>
              <w:right w:val="nil"/>
            </w:tcBorders>
            <w:shd w:val="clear" w:color="auto" w:fill="auto"/>
            <w:tcMar>
              <w:top w:type="dxa" w:w="80"/>
              <w:left w:type="dxa" w:w="80"/>
              <w:bottom w:type="dxa" w:w="80"/>
              <w:right w:type="dxa" w:w="80"/>
            </w:tcMar>
            <w:vAlign w:val="bottom"/>
          </w:tcPr>
          <w:p/>
        </w:tc>
      </w:tr>
      <w:tr>
        <w:tblPrEx>
          <w:shd w:val="clear" w:color="auto" w:fill="ced7e7"/>
        </w:tblPrEx>
        <w:trPr>
          <w:trHeight w:val="260" w:hRule="atLeast"/>
        </w:trPr>
        <w:tc>
          <w:tcPr>
            <w:tcW w:type="dxa" w:w="1488"/>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tc>
        <w:tc>
          <w:tcPr>
            <w:tcW w:type="dxa" w:w="1417"/>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jc w:val="center"/>
            </w:pPr>
            <w:r>
              <w:rPr>
                <w:b w:val="1"/>
                <w:bCs w:val="1"/>
                <w:color w:val="0f243e"/>
                <w:u w:color="0f243e"/>
                <w:rtl w:val="0"/>
                <w:lang w:val="it-IT"/>
              </w:rPr>
              <w:t>scuola</w:t>
            </w:r>
          </w:p>
        </w:tc>
        <w:tc>
          <w:tcPr>
            <w:tcW w:type="dxa" w:w="156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jc w:val="center"/>
            </w:pPr>
            <w:r>
              <w:rPr>
                <w:b w:val="1"/>
                <w:bCs w:val="1"/>
                <w:color w:val="0f243e"/>
                <w:u w:color="0f243e"/>
                <w:rtl w:val="0"/>
                <w:lang w:val="it-IT"/>
              </w:rPr>
              <w:t>sc. sec.</w:t>
            </w:r>
          </w:p>
        </w:tc>
        <w:tc>
          <w:tcPr>
            <w:tcW w:type="dxa" w:w="1645"/>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jc w:val="center"/>
            </w:pPr>
            <w:r>
              <w:rPr>
                <w:b w:val="1"/>
                <w:bCs w:val="1"/>
                <w:color w:val="0f243e"/>
                <w:u w:color="0f243e"/>
                <w:rtl w:val="0"/>
                <w:lang w:val="it-IT"/>
              </w:rPr>
              <w:t>sc. sec.</w:t>
            </w:r>
          </w:p>
        </w:tc>
        <w:tc>
          <w:tcPr>
            <w:tcW w:type="dxa" w:w="2048"/>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jc w:val="center"/>
            </w:pPr>
            <w:r>
              <w:rPr>
                <w:b w:val="1"/>
                <w:bCs w:val="1"/>
                <w:color w:val="0f243e"/>
                <w:u w:color="0f243e"/>
                <w:rtl w:val="0"/>
                <w:lang w:val="it-IT"/>
              </w:rPr>
              <w:t> </w:t>
            </w:r>
          </w:p>
        </w:tc>
      </w:tr>
      <w:tr>
        <w:tblPrEx>
          <w:shd w:val="clear" w:color="auto" w:fill="ced7e7"/>
        </w:tblPrEx>
        <w:trPr>
          <w:trHeight w:val="260" w:hRule="atLeast"/>
        </w:trPr>
        <w:tc>
          <w:tcPr>
            <w:tcW w:type="dxa" w:w="1488"/>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tc>
        <w:tc>
          <w:tcPr>
            <w:tcW w:type="dxa" w:w="1417"/>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jc w:val="center"/>
            </w:pPr>
            <w:r>
              <w:rPr>
                <w:b w:val="1"/>
                <w:bCs w:val="1"/>
                <w:color w:val="0f243e"/>
                <w:u w:color="0f243e"/>
                <w:rtl w:val="0"/>
                <w:lang w:val="it-IT"/>
              </w:rPr>
              <w:t>primaria</w:t>
            </w:r>
          </w:p>
        </w:tc>
        <w:tc>
          <w:tcPr>
            <w:tcW w:type="dxa" w:w="1560"/>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jc w:val="center"/>
            </w:pPr>
            <w:r>
              <w:rPr>
                <w:b w:val="1"/>
                <w:bCs w:val="1"/>
                <w:color w:val="0f243e"/>
                <w:u w:color="0f243e"/>
                <w:rtl w:val="0"/>
                <w:lang w:val="it-IT"/>
              </w:rPr>
              <w:t>1</w:t>
            </w:r>
            <w:r>
              <w:rPr>
                <w:b w:val="1"/>
                <w:bCs w:val="1"/>
                <w:color w:val="0f243e"/>
                <w:u w:color="0f243e"/>
                <w:rtl w:val="0"/>
                <w:lang w:val="it-IT"/>
              </w:rPr>
              <w:t xml:space="preserve">° </w:t>
            </w:r>
            <w:r>
              <w:rPr>
                <w:b w:val="1"/>
                <w:bCs w:val="1"/>
                <w:color w:val="0f243e"/>
                <w:u w:color="0f243e"/>
                <w:rtl w:val="0"/>
                <w:lang w:val="it-IT"/>
              </w:rPr>
              <w:t>grado</w:t>
            </w:r>
          </w:p>
        </w:tc>
        <w:tc>
          <w:tcPr>
            <w:tcW w:type="dxa" w:w="1645"/>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jc w:val="center"/>
            </w:pPr>
            <w:r>
              <w:rPr>
                <w:b w:val="1"/>
                <w:bCs w:val="1"/>
                <w:color w:val="0f243e"/>
                <w:u w:color="0f243e"/>
                <w:rtl w:val="0"/>
                <w:lang w:val="it-IT"/>
              </w:rPr>
              <w:t>2</w:t>
            </w:r>
            <w:r>
              <w:rPr>
                <w:b w:val="1"/>
                <w:bCs w:val="1"/>
                <w:color w:val="0f243e"/>
                <w:u w:color="0f243e"/>
                <w:rtl w:val="0"/>
                <w:lang w:val="it-IT"/>
              </w:rPr>
              <w:t xml:space="preserve">° </w:t>
            </w:r>
            <w:r>
              <w:rPr>
                <w:b w:val="1"/>
                <w:bCs w:val="1"/>
                <w:color w:val="0f243e"/>
                <w:u w:color="0f243e"/>
                <w:rtl w:val="0"/>
                <w:lang w:val="it-IT"/>
              </w:rPr>
              <w:t>grado</w:t>
            </w:r>
          </w:p>
        </w:tc>
        <w:tc>
          <w:tcPr>
            <w:tcW w:type="dxa" w:w="2048"/>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jc w:val="center"/>
            </w:pPr>
            <w:r>
              <w:rPr>
                <w:b w:val="1"/>
                <w:bCs w:val="1"/>
                <w:color w:val="0f243e"/>
                <w:u w:color="0f243e"/>
                <w:rtl w:val="0"/>
                <w:lang w:val="it-IT"/>
              </w:rPr>
              <w:t>Totale</w:t>
            </w:r>
          </w:p>
        </w:tc>
      </w:tr>
      <w:tr>
        <w:tblPrEx>
          <w:shd w:val="clear" w:color="auto" w:fill="ced7e7"/>
        </w:tblPrEx>
        <w:trPr>
          <w:trHeight w:val="260" w:hRule="atLeast"/>
        </w:trPr>
        <w:tc>
          <w:tcPr>
            <w:tcW w:type="dxa" w:w="1488"/>
            <w:tcBorders>
              <w:top w:val="nil"/>
              <w:left w:val="nil"/>
              <w:bottom w:val="nil"/>
              <w:right w:val="nil"/>
            </w:tcBorders>
            <w:shd w:val="clear" w:color="auto" w:fill="auto"/>
            <w:tcMar>
              <w:top w:type="dxa" w:w="80"/>
              <w:left w:type="dxa" w:w="80"/>
              <w:bottom w:type="dxa" w:w="80"/>
              <w:right w:type="dxa" w:w="80"/>
            </w:tcMar>
            <w:vAlign w:val="bottom"/>
          </w:tcPr>
          <w:p/>
        </w:tc>
        <w:tc>
          <w:tcPr>
            <w:tcW w:type="dxa" w:w="1417"/>
            <w:tcBorders>
              <w:top w:val="single" w:color="000000" w:sz="8" w:space="0" w:shadow="0" w:frame="0"/>
              <w:left w:val="nil"/>
              <w:bottom w:val="nil"/>
              <w:right w:val="nil"/>
            </w:tcBorders>
            <w:shd w:val="clear" w:color="auto" w:fill="auto"/>
            <w:tcMar>
              <w:top w:type="dxa" w:w="80"/>
              <w:left w:type="dxa" w:w="80"/>
              <w:bottom w:type="dxa" w:w="80"/>
              <w:right w:type="dxa" w:w="80"/>
            </w:tcMar>
            <w:vAlign w:val="bottom"/>
          </w:tcPr>
          <w:p/>
        </w:tc>
        <w:tc>
          <w:tcPr>
            <w:tcW w:type="dxa" w:w="1560"/>
            <w:tcBorders>
              <w:top w:val="single" w:color="000000" w:sz="8" w:space="0" w:shadow="0" w:frame="0"/>
              <w:left w:val="nil"/>
              <w:bottom w:val="nil"/>
              <w:right w:val="nil"/>
            </w:tcBorders>
            <w:shd w:val="clear" w:color="auto" w:fill="auto"/>
            <w:tcMar>
              <w:top w:type="dxa" w:w="80"/>
              <w:left w:type="dxa" w:w="80"/>
              <w:bottom w:type="dxa" w:w="80"/>
              <w:right w:type="dxa" w:w="80"/>
            </w:tcMar>
            <w:vAlign w:val="bottom"/>
          </w:tcPr>
          <w:p/>
        </w:tc>
        <w:tc>
          <w:tcPr>
            <w:tcW w:type="dxa" w:w="1645"/>
            <w:tcBorders>
              <w:top w:val="single" w:color="000000" w:sz="8" w:space="0" w:shadow="0" w:frame="0"/>
              <w:left w:val="nil"/>
              <w:bottom w:val="nil"/>
              <w:right w:val="nil"/>
            </w:tcBorders>
            <w:shd w:val="clear" w:color="auto" w:fill="auto"/>
            <w:tcMar>
              <w:top w:type="dxa" w:w="80"/>
              <w:left w:type="dxa" w:w="80"/>
              <w:bottom w:type="dxa" w:w="80"/>
              <w:right w:type="dxa" w:w="80"/>
            </w:tcMar>
            <w:vAlign w:val="bottom"/>
          </w:tcPr>
          <w:p/>
        </w:tc>
        <w:tc>
          <w:tcPr>
            <w:tcW w:type="dxa" w:w="2048"/>
            <w:tcBorders>
              <w:top w:val="single" w:color="000000" w:sz="8" w:space="0" w:shadow="0" w:frame="0"/>
              <w:left w:val="nil"/>
              <w:bottom w:val="nil"/>
              <w:right w:val="nil"/>
            </w:tcBorders>
            <w:shd w:val="clear" w:color="auto" w:fill="auto"/>
            <w:tcMar>
              <w:top w:type="dxa" w:w="80"/>
              <w:left w:type="dxa" w:w="80"/>
              <w:bottom w:type="dxa" w:w="80"/>
              <w:right w:type="dxa" w:w="80"/>
            </w:tcMar>
            <w:vAlign w:val="bottom"/>
          </w:tcPr>
          <w:p/>
        </w:tc>
      </w:tr>
      <w:tr>
        <w:tblPrEx>
          <w:shd w:val="clear" w:color="auto" w:fill="ced7e7"/>
        </w:tblPrEx>
        <w:trPr>
          <w:trHeight w:val="260" w:hRule="atLeast"/>
        </w:trPr>
        <w:tc>
          <w:tcPr>
            <w:tcW w:type="dxa" w:w="1488"/>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pPr>
            <w:r>
              <w:rPr>
                <w:color w:val="0f243e"/>
                <w:u w:color="0f243e"/>
                <w:rtl w:val="0"/>
                <w:lang w:val="it-IT"/>
              </w:rPr>
              <w:t>Regno Unito</w:t>
            </w:r>
          </w:p>
        </w:tc>
        <w:tc>
          <w:tcPr>
            <w:tcW w:type="dxa" w:w="1417"/>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u w:color="0f243e"/>
                <w:rtl w:val="0"/>
                <w:lang w:val="it-IT"/>
              </w:rPr>
              <w:t>4,20</w:t>
            </w:r>
          </w:p>
        </w:tc>
        <w:tc>
          <w:tcPr>
            <w:tcW w:type="dxa" w:w="1560"/>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u w:color="0f243e"/>
                <w:rtl w:val="0"/>
                <w:lang w:val="it-IT"/>
              </w:rPr>
              <w:t>2,20</w:t>
            </w:r>
          </w:p>
        </w:tc>
        <w:tc>
          <w:tcPr>
            <w:tcW w:type="dxa" w:w="1645"/>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u w:color="0f243e"/>
                <w:rtl w:val="0"/>
                <w:lang w:val="it-IT"/>
              </w:rPr>
              <w:t>3,20</w:t>
            </w:r>
          </w:p>
        </w:tc>
        <w:tc>
          <w:tcPr>
            <w:tcW w:type="dxa" w:w="2048"/>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u w:color="0f243e"/>
                <w:rtl w:val="0"/>
                <w:lang w:val="it-IT"/>
              </w:rPr>
              <w:t>9,60</w:t>
            </w:r>
          </w:p>
        </w:tc>
      </w:tr>
      <w:tr>
        <w:tblPrEx>
          <w:shd w:val="clear" w:color="auto" w:fill="ced7e7"/>
        </w:tblPrEx>
        <w:trPr>
          <w:trHeight w:val="260" w:hRule="atLeast"/>
        </w:trPr>
        <w:tc>
          <w:tcPr>
            <w:tcW w:type="dxa" w:w="1488"/>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pPr>
            <w:r>
              <w:rPr>
                <w:color w:val="0f243e"/>
                <w:u w:color="0f243e"/>
                <w:rtl w:val="0"/>
                <w:lang w:val="it-IT"/>
              </w:rPr>
              <w:t>Danimarca</w:t>
            </w:r>
          </w:p>
        </w:tc>
        <w:tc>
          <w:tcPr>
            <w:tcW w:type="dxa" w:w="1417"/>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u w:color="0f243e"/>
                <w:rtl w:val="0"/>
                <w:lang w:val="it-IT"/>
              </w:rPr>
              <w:t>3,80</w:t>
            </w:r>
          </w:p>
        </w:tc>
        <w:tc>
          <w:tcPr>
            <w:tcW w:type="dxa" w:w="1560"/>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u w:color="0f243e"/>
                <w:rtl w:val="0"/>
                <w:lang w:val="it-IT"/>
              </w:rPr>
              <w:t>2,20</w:t>
            </w:r>
          </w:p>
        </w:tc>
        <w:tc>
          <w:tcPr>
            <w:tcW w:type="dxa" w:w="1645"/>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u w:color="0f243e"/>
                <w:rtl w:val="0"/>
                <w:lang w:val="it-IT"/>
              </w:rPr>
              <w:t>3,30</w:t>
            </w:r>
          </w:p>
        </w:tc>
        <w:tc>
          <w:tcPr>
            <w:tcW w:type="dxa" w:w="2048"/>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u w:color="0f243e"/>
                <w:rtl w:val="0"/>
                <w:lang w:val="it-IT"/>
              </w:rPr>
              <w:t>9,30</w:t>
            </w:r>
          </w:p>
        </w:tc>
      </w:tr>
      <w:tr>
        <w:tblPrEx>
          <w:shd w:val="clear" w:color="auto" w:fill="ced7e7"/>
        </w:tblPrEx>
        <w:trPr>
          <w:trHeight w:val="260" w:hRule="atLeast"/>
        </w:trPr>
        <w:tc>
          <w:tcPr>
            <w:tcW w:type="dxa" w:w="1488"/>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pPr>
            <w:r>
              <w:rPr>
                <w:color w:val="0f243e"/>
                <w:u w:color="0f243e"/>
                <w:rtl w:val="0"/>
                <w:lang w:val="it-IT"/>
              </w:rPr>
              <w:t>Irlanda</w:t>
            </w:r>
          </w:p>
        </w:tc>
        <w:tc>
          <w:tcPr>
            <w:tcW w:type="dxa" w:w="1417"/>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u w:color="0f243e"/>
                <w:rtl w:val="0"/>
                <w:lang w:val="it-IT"/>
              </w:rPr>
              <w:t>4,80</w:t>
            </w:r>
          </w:p>
        </w:tc>
        <w:tc>
          <w:tcPr>
            <w:tcW w:type="dxa" w:w="1560"/>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u w:color="0f243e"/>
                <w:rtl w:val="0"/>
                <w:lang w:val="it-IT"/>
              </w:rPr>
              <w:t>2,20</w:t>
            </w:r>
          </w:p>
        </w:tc>
        <w:tc>
          <w:tcPr>
            <w:tcW w:type="dxa" w:w="1645"/>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u w:color="0f243e"/>
                <w:rtl w:val="0"/>
                <w:lang w:val="it-IT"/>
              </w:rPr>
              <w:t>2,20</w:t>
            </w:r>
          </w:p>
        </w:tc>
        <w:tc>
          <w:tcPr>
            <w:tcW w:type="dxa" w:w="2048"/>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u w:color="0f243e"/>
                <w:rtl w:val="0"/>
                <w:lang w:val="it-IT"/>
              </w:rPr>
              <w:t>9,20</w:t>
            </w:r>
          </w:p>
        </w:tc>
      </w:tr>
      <w:tr>
        <w:tblPrEx>
          <w:shd w:val="clear" w:color="auto" w:fill="ced7e7"/>
        </w:tblPrEx>
        <w:trPr>
          <w:trHeight w:val="260" w:hRule="atLeast"/>
        </w:trPr>
        <w:tc>
          <w:tcPr>
            <w:tcW w:type="dxa" w:w="1488"/>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pPr>
            <w:r>
              <w:rPr>
                <w:color w:val="0f243e"/>
                <w:u w:color="0f243e"/>
                <w:rtl w:val="0"/>
                <w:lang w:val="it-IT"/>
              </w:rPr>
              <w:t>Lettonia</w:t>
            </w:r>
          </w:p>
        </w:tc>
        <w:tc>
          <w:tcPr>
            <w:tcW w:type="dxa" w:w="1417"/>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u w:color="0f243e"/>
                <w:rtl w:val="0"/>
                <w:lang w:val="it-IT"/>
              </w:rPr>
              <w:t>4,20</w:t>
            </w:r>
          </w:p>
        </w:tc>
        <w:tc>
          <w:tcPr>
            <w:tcW w:type="dxa" w:w="1560"/>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u w:color="0f243e"/>
                <w:rtl w:val="0"/>
                <w:lang w:val="it-IT"/>
              </w:rPr>
              <w:t>2,00</w:t>
            </w:r>
          </w:p>
        </w:tc>
        <w:tc>
          <w:tcPr>
            <w:tcW w:type="dxa" w:w="1645"/>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u w:color="0f243e"/>
                <w:rtl w:val="0"/>
                <w:lang w:val="it-IT"/>
              </w:rPr>
              <w:t>2,40</w:t>
            </w:r>
          </w:p>
        </w:tc>
        <w:tc>
          <w:tcPr>
            <w:tcW w:type="dxa" w:w="2048"/>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u w:color="0f243e"/>
                <w:rtl w:val="0"/>
                <w:lang w:val="it-IT"/>
              </w:rPr>
              <w:t>8,60</w:t>
            </w:r>
          </w:p>
        </w:tc>
      </w:tr>
      <w:tr>
        <w:tblPrEx>
          <w:shd w:val="clear" w:color="auto" w:fill="ced7e7"/>
        </w:tblPrEx>
        <w:trPr>
          <w:trHeight w:val="260" w:hRule="atLeast"/>
        </w:trPr>
        <w:tc>
          <w:tcPr>
            <w:tcW w:type="dxa" w:w="1488"/>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pPr>
            <w:r>
              <w:rPr>
                <w:color w:val="0f243e"/>
                <w:u w:color="0f243e"/>
                <w:rtl w:val="0"/>
                <w:lang w:val="it-IT"/>
              </w:rPr>
              <w:t>Belgio</w:t>
            </w:r>
          </w:p>
        </w:tc>
        <w:tc>
          <w:tcPr>
            <w:tcW w:type="dxa" w:w="1417"/>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u w:color="0f243e"/>
                <w:rtl w:val="0"/>
                <w:lang w:val="it-IT"/>
              </w:rPr>
              <w:t>2,80</w:t>
            </w:r>
          </w:p>
        </w:tc>
        <w:tc>
          <w:tcPr>
            <w:tcW w:type="dxa" w:w="1560"/>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u w:color="0f243e"/>
                <w:rtl w:val="0"/>
                <w:lang w:val="it-IT"/>
              </w:rPr>
              <w:t>1,60</w:t>
            </w:r>
          </w:p>
        </w:tc>
        <w:tc>
          <w:tcPr>
            <w:tcW w:type="dxa" w:w="1645"/>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u w:color="0f243e"/>
                <w:rtl w:val="0"/>
                <w:lang w:val="it-IT"/>
              </w:rPr>
              <w:t>3,40</w:t>
            </w:r>
          </w:p>
        </w:tc>
        <w:tc>
          <w:tcPr>
            <w:tcW w:type="dxa" w:w="2048"/>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u w:color="0f243e"/>
                <w:rtl w:val="0"/>
                <w:lang w:val="it-IT"/>
              </w:rPr>
              <w:t>7,80</w:t>
            </w:r>
          </w:p>
        </w:tc>
      </w:tr>
      <w:tr>
        <w:tblPrEx>
          <w:shd w:val="clear" w:color="auto" w:fill="ced7e7"/>
        </w:tblPrEx>
        <w:trPr>
          <w:trHeight w:val="260" w:hRule="atLeast"/>
        </w:trPr>
        <w:tc>
          <w:tcPr>
            <w:tcW w:type="dxa" w:w="1488"/>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pPr>
            <w:r>
              <w:rPr>
                <w:color w:val="0f243e"/>
                <w:u w:color="0f243e"/>
                <w:rtl w:val="0"/>
                <w:lang w:val="it-IT"/>
              </w:rPr>
              <w:t>Olanda</w:t>
            </w:r>
          </w:p>
        </w:tc>
        <w:tc>
          <w:tcPr>
            <w:tcW w:type="dxa" w:w="1417"/>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u w:color="0f243e"/>
                <w:rtl w:val="0"/>
                <w:lang w:val="it-IT"/>
              </w:rPr>
              <w:t>2,70</w:t>
            </w:r>
          </w:p>
        </w:tc>
        <w:tc>
          <w:tcPr>
            <w:tcW w:type="dxa" w:w="1560"/>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u w:color="0f243e"/>
                <w:rtl w:val="0"/>
                <w:lang w:val="it-IT"/>
              </w:rPr>
              <w:t>2,60</w:t>
            </w:r>
          </w:p>
        </w:tc>
        <w:tc>
          <w:tcPr>
            <w:tcW w:type="dxa" w:w="1645"/>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u w:color="0f243e"/>
                <w:rtl w:val="0"/>
                <w:lang w:val="it-IT"/>
              </w:rPr>
              <w:t>2,30</w:t>
            </w:r>
          </w:p>
        </w:tc>
        <w:tc>
          <w:tcPr>
            <w:tcW w:type="dxa" w:w="2048"/>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u w:color="0f243e"/>
                <w:rtl w:val="0"/>
                <w:lang w:val="it-IT"/>
              </w:rPr>
              <w:t>7,60</w:t>
            </w:r>
          </w:p>
        </w:tc>
      </w:tr>
      <w:tr>
        <w:tblPrEx>
          <w:shd w:val="clear" w:color="auto" w:fill="ced7e7"/>
        </w:tblPrEx>
        <w:trPr>
          <w:trHeight w:val="260" w:hRule="atLeast"/>
        </w:trPr>
        <w:tc>
          <w:tcPr>
            <w:tcW w:type="dxa" w:w="1488"/>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pPr>
            <w:r>
              <w:rPr>
                <w:color w:val="0f243e"/>
                <w:u w:color="0f243e"/>
                <w:rtl w:val="0"/>
                <w:lang w:val="it-IT"/>
              </w:rPr>
              <w:t>Svezia</w:t>
            </w:r>
          </w:p>
        </w:tc>
        <w:tc>
          <w:tcPr>
            <w:tcW w:type="dxa" w:w="1417"/>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u w:color="0f243e"/>
                <w:rtl w:val="0"/>
                <w:lang w:val="it-IT"/>
              </w:rPr>
              <w:t>3,40</w:t>
            </w:r>
          </w:p>
        </w:tc>
        <w:tc>
          <w:tcPr>
            <w:tcW w:type="dxa" w:w="1560"/>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u w:color="0f243e"/>
                <w:rtl w:val="0"/>
                <w:lang w:val="it-IT"/>
              </w:rPr>
              <w:t>1,60</w:t>
            </w:r>
          </w:p>
        </w:tc>
        <w:tc>
          <w:tcPr>
            <w:tcW w:type="dxa" w:w="1645"/>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u w:color="0f243e"/>
                <w:rtl w:val="0"/>
                <w:lang w:val="it-IT"/>
              </w:rPr>
              <w:t>2,50</w:t>
            </w:r>
          </w:p>
        </w:tc>
        <w:tc>
          <w:tcPr>
            <w:tcW w:type="dxa" w:w="2048"/>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u w:color="0f243e"/>
                <w:rtl w:val="0"/>
                <w:lang w:val="it-IT"/>
              </w:rPr>
              <w:t>7,50</w:t>
            </w:r>
          </w:p>
        </w:tc>
      </w:tr>
      <w:tr>
        <w:tblPrEx>
          <w:shd w:val="clear" w:color="auto" w:fill="ced7e7"/>
        </w:tblPrEx>
        <w:trPr>
          <w:trHeight w:val="260" w:hRule="atLeast"/>
        </w:trPr>
        <w:tc>
          <w:tcPr>
            <w:tcW w:type="dxa" w:w="1488"/>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pPr>
            <w:r>
              <w:rPr>
                <w:color w:val="0f243e"/>
                <w:u w:color="0f243e"/>
                <w:rtl w:val="0"/>
                <w:lang w:val="it-IT"/>
              </w:rPr>
              <w:t>Polonia</w:t>
            </w:r>
          </w:p>
        </w:tc>
        <w:tc>
          <w:tcPr>
            <w:tcW w:type="dxa" w:w="1417"/>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u w:color="0f243e"/>
                <w:rtl w:val="0"/>
                <w:lang w:val="it-IT"/>
              </w:rPr>
              <w:t>3,70</w:t>
            </w:r>
          </w:p>
        </w:tc>
        <w:tc>
          <w:tcPr>
            <w:tcW w:type="dxa" w:w="1560"/>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u w:color="0f243e"/>
                <w:rtl w:val="0"/>
                <w:lang w:val="it-IT"/>
              </w:rPr>
              <w:t>1,80</w:t>
            </w:r>
          </w:p>
        </w:tc>
        <w:tc>
          <w:tcPr>
            <w:tcW w:type="dxa" w:w="1645"/>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u w:color="0f243e"/>
                <w:rtl w:val="0"/>
                <w:lang w:val="it-IT"/>
              </w:rPr>
              <w:t>1,90</w:t>
            </w:r>
          </w:p>
        </w:tc>
        <w:tc>
          <w:tcPr>
            <w:tcW w:type="dxa" w:w="2048"/>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u w:color="0f243e"/>
                <w:rtl w:val="0"/>
                <w:lang w:val="it-IT"/>
              </w:rPr>
              <w:t>7,40</w:t>
            </w:r>
          </w:p>
        </w:tc>
      </w:tr>
      <w:tr>
        <w:tblPrEx>
          <w:shd w:val="clear" w:color="auto" w:fill="ced7e7"/>
        </w:tblPrEx>
        <w:trPr>
          <w:trHeight w:val="260" w:hRule="atLeast"/>
        </w:trPr>
        <w:tc>
          <w:tcPr>
            <w:tcW w:type="dxa" w:w="1488"/>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pPr>
            <w:r>
              <w:rPr>
                <w:color w:val="0f243e"/>
                <w:u w:color="0f243e"/>
                <w:rtl w:val="0"/>
                <w:lang w:val="it-IT"/>
              </w:rPr>
              <w:t>Estonia</w:t>
            </w:r>
          </w:p>
        </w:tc>
        <w:tc>
          <w:tcPr>
            <w:tcW w:type="dxa" w:w="1417"/>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u w:color="0f243e"/>
                <w:rtl w:val="0"/>
                <w:lang w:val="it-IT"/>
              </w:rPr>
              <w:t>3,50</w:t>
            </w:r>
          </w:p>
        </w:tc>
        <w:tc>
          <w:tcPr>
            <w:tcW w:type="dxa" w:w="1560"/>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u w:color="0f243e"/>
                <w:rtl w:val="0"/>
                <w:lang w:val="it-IT"/>
              </w:rPr>
              <w:t>1,80</w:t>
            </w:r>
          </w:p>
        </w:tc>
        <w:tc>
          <w:tcPr>
            <w:tcW w:type="dxa" w:w="1645"/>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u w:color="0f243e"/>
                <w:rtl w:val="0"/>
                <w:lang w:val="it-IT"/>
              </w:rPr>
              <w:t>1,90</w:t>
            </w:r>
          </w:p>
        </w:tc>
        <w:tc>
          <w:tcPr>
            <w:tcW w:type="dxa" w:w="2048"/>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u w:color="0f243e"/>
                <w:rtl w:val="0"/>
                <w:lang w:val="it-IT"/>
              </w:rPr>
              <w:t>7,20</w:t>
            </w:r>
          </w:p>
        </w:tc>
      </w:tr>
      <w:tr>
        <w:tblPrEx>
          <w:shd w:val="clear" w:color="auto" w:fill="ced7e7"/>
        </w:tblPrEx>
        <w:trPr>
          <w:trHeight w:val="260" w:hRule="atLeast"/>
        </w:trPr>
        <w:tc>
          <w:tcPr>
            <w:tcW w:type="dxa" w:w="1488"/>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pPr>
            <w:r>
              <w:rPr>
                <w:color w:val="0f243e"/>
                <w:u w:color="0f243e"/>
                <w:rtl w:val="0"/>
                <w:lang w:val="it-IT"/>
              </w:rPr>
              <w:t>Portogallo</w:t>
            </w:r>
          </w:p>
        </w:tc>
        <w:tc>
          <w:tcPr>
            <w:tcW w:type="dxa" w:w="1417"/>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u w:color="0f243e"/>
                <w:rtl w:val="0"/>
                <w:lang w:val="it-IT"/>
              </w:rPr>
              <w:t>3,00</w:t>
            </w:r>
          </w:p>
        </w:tc>
        <w:tc>
          <w:tcPr>
            <w:tcW w:type="dxa" w:w="1560"/>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u w:color="0f243e"/>
                <w:rtl w:val="0"/>
                <w:lang w:val="it-IT"/>
              </w:rPr>
              <w:t>2,30</w:t>
            </w:r>
          </w:p>
        </w:tc>
        <w:tc>
          <w:tcPr>
            <w:tcW w:type="dxa" w:w="1645"/>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u w:color="0f243e"/>
                <w:rtl w:val="0"/>
                <w:lang w:val="it-IT"/>
              </w:rPr>
              <w:t>1,90</w:t>
            </w:r>
          </w:p>
        </w:tc>
        <w:tc>
          <w:tcPr>
            <w:tcW w:type="dxa" w:w="2048"/>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u w:color="0f243e"/>
                <w:rtl w:val="0"/>
                <w:lang w:val="it-IT"/>
              </w:rPr>
              <w:t>7,20</w:t>
            </w:r>
          </w:p>
        </w:tc>
      </w:tr>
      <w:tr>
        <w:tblPrEx>
          <w:shd w:val="clear" w:color="auto" w:fill="ced7e7"/>
        </w:tblPrEx>
        <w:trPr>
          <w:trHeight w:val="300" w:hRule="atLeast"/>
        </w:trPr>
        <w:tc>
          <w:tcPr>
            <w:tcW w:type="dxa" w:w="1488"/>
            <w:tcBorders>
              <w:top w:val="nil"/>
              <w:left w:val="nil"/>
              <w:bottom w:val="nil"/>
              <w:right w:val="nil"/>
            </w:tcBorders>
            <w:shd w:val="clear" w:color="auto" w:fill="c6d9f1"/>
            <w:tcMar>
              <w:top w:type="dxa" w:w="80"/>
              <w:left w:type="dxa" w:w="80"/>
              <w:bottom w:type="dxa" w:w="80"/>
              <w:right w:type="dxa" w:w="80"/>
            </w:tcMar>
            <w:vAlign w:val="bottom"/>
          </w:tcPr>
          <w:p>
            <w:pPr>
              <w:pStyle w:val="Normale"/>
              <w:spacing w:after="0" w:line="240" w:lineRule="auto"/>
            </w:pPr>
            <w:r>
              <w:rPr>
                <w:b w:val="1"/>
                <w:bCs w:val="1"/>
                <w:color w:val="0f243e"/>
                <w:sz w:val="24"/>
                <w:szCs w:val="24"/>
                <w:u w:color="0f243e"/>
                <w:rtl w:val="0"/>
                <w:lang w:val="it-IT"/>
              </w:rPr>
              <w:t>Media EU</w:t>
            </w:r>
          </w:p>
        </w:tc>
        <w:tc>
          <w:tcPr>
            <w:tcW w:type="dxa" w:w="1417"/>
            <w:tcBorders>
              <w:top w:val="nil"/>
              <w:left w:val="nil"/>
              <w:bottom w:val="nil"/>
              <w:right w:val="nil"/>
            </w:tcBorders>
            <w:shd w:val="clear" w:color="auto" w:fill="c6d9f1"/>
            <w:tcMar>
              <w:top w:type="dxa" w:w="80"/>
              <w:left w:type="dxa" w:w="80"/>
              <w:bottom w:type="dxa" w:w="80"/>
              <w:right w:type="dxa" w:w="80"/>
            </w:tcMar>
            <w:vAlign w:val="bottom"/>
          </w:tcPr>
          <w:p>
            <w:pPr>
              <w:pStyle w:val="Normale"/>
              <w:spacing w:after="0" w:line="240" w:lineRule="auto"/>
              <w:jc w:val="right"/>
            </w:pPr>
            <w:r>
              <w:rPr>
                <w:b w:val="1"/>
                <w:bCs w:val="1"/>
                <w:color w:val="0f243e"/>
                <w:sz w:val="24"/>
                <w:szCs w:val="24"/>
                <w:u w:color="0f243e"/>
                <w:rtl w:val="0"/>
                <w:lang w:val="it-IT"/>
              </w:rPr>
              <w:t>2,81</w:t>
            </w:r>
          </w:p>
        </w:tc>
        <w:tc>
          <w:tcPr>
            <w:tcW w:type="dxa" w:w="1560"/>
            <w:tcBorders>
              <w:top w:val="nil"/>
              <w:left w:val="nil"/>
              <w:bottom w:val="nil"/>
              <w:right w:val="nil"/>
            </w:tcBorders>
            <w:shd w:val="clear" w:color="auto" w:fill="c6d9f1"/>
            <w:tcMar>
              <w:top w:type="dxa" w:w="80"/>
              <w:left w:type="dxa" w:w="80"/>
              <w:bottom w:type="dxa" w:w="80"/>
              <w:right w:type="dxa" w:w="80"/>
            </w:tcMar>
            <w:vAlign w:val="bottom"/>
          </w:tcPr>
          <w:p>
            <w:pPr>
              <w:pStyle w:val="Normale"/>
              <w:spacing w:after="0" w:line="240" w:lineRule="auto"/>
              <w:jc w:val="right"/>
            </w:pPr>
            <w:r>
              <w:rPr>
                <w:b w:val="1"/>
                <w:bCs w:val="1"/>
                <w:color w:val="0f243e"/>
                <w:sz w:val="24"/>
                <w:szCs w:val="24"/>
                <w:u w:color="0f243e"/>
                <w:rtl w:val="0"/>
                <w:lang w:val="it-IT"/>
              </w:rPr>
              <w:t>1,98</w:t>
            </w:r>
          </w:p>
        </w:tc>
        <w:tc>
          <w:tcPr>
            <w:tcW w:type="dxa" w:w="1645"/>
            <w:tcBorders>
              <w:top w:val="nil"/>
              <w:left w:val="nil"/>
              <w:bottom w:val="nil"/>
              <w:right w:val="nil"/>
            </w:tcBorders>
            <w:shd w:val="clear" w:color="auto" w:fill="c6d9f1"/>
            <w:tcMar>
              <w:top w:type="dxa" w:w="80"/>
              <w:left w:type="dxa" w:w="80"/>
              <w:bottom w:type="dxa" w:w="80"/>
              <w:right w:type="dxa" w:w="80"/>
            </w:tcMar>
            <w:vAlign w:val="bottom"/>
          </w:tcPr>
          <w:p>
            <w:pPr>
              <w:pStyle w:val="Normale"/>
              <w:spacing w:after="0" w:line="240" w:lineRule="auto"/>
              <w:jc w:val="right"/>
            </w:pPr>
            <w:r>
              <w:rPr>
                <w:b w:val="1"/>
                <w:bCs w:val="1"/>
                <w:color w:val="0f243e"/>
                <w:sz w:val="24"/>
                <w:szCs w:val="24"/>
                <w:u w:color="0f243e"/>
                <w:rtl w:val="0"/>
                <w:lang w:val="it-IT"/>
              </w:rPr>
              <w:t>2,30</w:t>
            </w:r>
          </w:p>
        </w:tc>
        <w:tc>
          <w:tcPr>
            <w:tcW w:type="dxa" w:w="2048"/>
            <w:tcBorders>
              <w:top w:val="nil"/>
              <w:left w:val="nil"/>
              <w:bottom w:val="nil"/>
              <w:right w:val="nil"/>
            </w:tcBorders>
            <w:shd w:val="clear" w:color="auto" w:fill="c6d9f1"/>
            <w:tcMar>
              <w:top w:type="dxa" w:w="80"/>
              <w:left w:type="dxa" w:w="80"/>
              <w:bottom w:type="dxa" w:w="80"/>
              <w:right w:type="dxa" w:w="80"/>
            </w:tcMar>
            <w:vAlign w:val="bottom"/>
          </w:tcPr>
          <w:p>
            <w:pPr>
              <w:pStyle w:val="Normale"/>
              <w:spacing w:after="0" w:line="240" w:lineRule="auto"/>
              <w:jc w:val="right"/>
            </w:pPr>
            <w:r>
              <w:rPr>
                <w:b w:val="1"/>
                <w:bCs w:val="1"/>
                <w:color w:val="0f243e"/>
                <w:sz w:val="24"/>
                <w:szCs w:val="24"/>
                <w:u w:color="0f243e"/>
                <w:rtl w:val="0"/>
                <w:lang w:val="it-IT"/>
              </w:rPr>
              <w:t>7,09</w:t>
            </w:r>
          </w:p>
        </w:tc>
      </w:tr>
      <w:tr>
        <w:tblPrEx>
          <w:shd w:val="clear" w:color="auto" w:fill="ced7e7"/>
        </w:tblPrEx>
        <w:trPr>
          <w:trHeight w:val="260" w:hRule="atLeast"/>
        </w:trPr>
        <w:tc>
          <w:tcPr>
            <w:tcW w:type="dxa" w:w="1488"/>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pPr>
            <w:r>
              <w:rPr>
                <w:color w:val="0f243e"/>
                <w:u w:color="0f243e"/>
                <w:rtl w:val="0"/>
                <w:lang w:val="it-IT"/>
              </w:rPr>
              <w:t>Finlandia</w:t>
            </w:r>
          </w:p>
        </w:tc>
        <w:tc>
          <w:tcPr>
            <w:tcW w:type="dxa" w:w="1417"/>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u w:color="0f243e"/>
                <w:rtl w:val="0"/>
                <w:lang w:val="it-IT"/>
              </w:rPr>
              <w:t>2,40</w:t>
            </w:r>
          </w:p>
        </w:tc>
        <w:tc>
          <w:tcPr>
            <w:tcW w:type="dxa" w:w="1560"/>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u w:color="0f243e"/>
                <w:rtl w:val="0"/>
                <w:lang w:val="it-IT"/>
              </w:rPr>
              <w:t>1,90</w:t>
            </w:r>
          </w:p>
        </w:tc>
        <w:tc>
          <w:tcPr>
            <w:tcW w:type="dxa" w:w="1645"/>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u w:color="0f243e"/>
                <w:rtl w:val="0"/>
                <w:lang w:val="it-IT"/>
              </w:rPr>
              <w:t>2,70</w:t>
            </w:r>
          </w:p>
        </w:tc>
        <w:tc>
          <w:tcPr>
            <w:tcW w:type="dxa" w:w="2048"/>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u w:color="0f243e"/>
                <w:rtl w:val="0"/>
                <w:lang w:val="it-IT"/>
              </w:rPr>
              <w:t>7,00</w:t>
            </w:r>
          </w:p>
        </w:tc>
      </w:tr>
      <w:tr>
        <w:tblPrEx>
          <w:shd w:val="clear" w:color="auto" w:fill="ced7e7"/>
        </w:tblPrEx>
        <w:trPr>
          <w:trHeight w:val="260" w:hRule="atLeast"/>
        </w:trPr>
        <w:tc>
          <w:tcPr>
            <w:tcW w:type="dxa" w:w="1488"/>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pPr>
            <w:r>
              <w:rPr>
                <w:color w:val="0f243e"/>
                <w:u w:color="0f243e"/>
                <w:rtl w:val="0"/>
                <w:lang w:val="it-IT"/>
              </w:rPr>
              <w:t>Lussemburgo</w:t>
            </w:r>
          </w:p>
        </w:tc>
        <w:tc>
          <w:tcPr>
            <w:tcW w:type="dxa" w:w="1417"/>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u w:color="0f243e"/>
                <w:rtl w:val="0"/>
                <w:lang w:val="it-IT"/>
              </w:rPr>
              <w:t>3,00</w:t>
            </w:r>
          </w:p>
        </w:tc>
        <w:tc>
          <w:tcPr>
            <w:tcW w:type="dxa" w:w="1560"/>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u w:color="0f243e"/>
                <w:rtl w:val="0"/>
                <w:lang w:val="it-IT"/>
              </w:rPr>
              <w:t>1,90</w:t>
            </w:r>
          </w:p>
        </w:tc>
        <w:tc>
          <w:tcPr>
            <w:tcW w:type="dxa" w:w="1645"/>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u w:color="0f243e"/>
                <w:rtl w:val="0"/>
                <w:lang w:val="it-IT"/>
              </w:rPr>
              <w:t>2,10</w:t>
            </w:r>
          </w:p>
        </w:tc>
        <w:tc>
          <w:tcPr>
            <w:tcW w:type="dxa" w:w="2048"/>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u w:color="0f243e"/>
                <w:rtl w:val="0"/>
                <w:lang w:val="it-IT"/>
              </w:rPr>
              <w:t>7,00</w:t>
            </w:r>
          </w:p>
        </w:tc>
      </w:tr>
      <w:tr>
        <w:tblPrEx>
          <w:shd w:val="clear" w:color="auto" w:fill="ced7e7"/>
        </w:tblPrEx>
        <w:trPr>
          <w:trHeight w:val="260" w:hRule="atLeast"/>
        </w:trPr>
        <w:tc>
          <w:tcPr>
            <w:tcW w:type="dxa" w:w="1488"/>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pPr>
            <w:r>
              <w:rPr>
                <w:color w:val="0f243e"/>
                <w:u w:color="0f243e"/>
                <w:rtl w:val="0"/>
                <w:lang w:val="it-IT"/>
              </w:rPr>
              <w:t>Slovenia</w:t>
            </w:r>
          </w:p>
        </w:tc>
        <w:tc>
          <w:tcPr>
            <w:tcW w:type="dxa" w:w="1417"/>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u w:color="0f243e"/>
                <w:rtl w:val="0"/>
                <w:lang w:val="it-IT"/>
              </w:rPr>
              <w:t>3,00</w:t>
            </w:r>
          </w:p>
        </w:tc>
        <w:tc>
          <w:tcPr>
            <w:tcW w:type="dxa" w:w="1560"/>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u w:color="0f243e"/>
                <w:rtl w:val="0"/>
                <w:lang w:val="it-IT"/>
              </w:rPr>
              <w:t>1,60</w:t>
            </w:r>
          </w:p>
        </w:tc>
        <w:tc>
          <w:tcPr>
            <w:tcW w:type="dxa" w:w="1645"/>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u w:color="0f243e"/>
                <w:rtl w:val="0"/>
                <w:lang w:val="it-IT"/>
              </w:rPr>
              <w:t>1,90</w:t>
            </w:r>
          </w:p>
        </w:tc>
        <w:tc>
          <w:tcPr>
            <w:tcW w:type="dxa" w:w="2048"/>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u w:color="0f243e"/>
                <w:rtl w:val="0"/>
                <w:lang w:val="it-IT"/>
              </w:rPr>
              <w:t>6,50</w:t>
            </w:r>
          </w:p>
        </w:tc>
      </w:tr>
      <w:tr>
        <w:tblPrEx>
          <w:shd w:val="clear" w:color="auto" w:fill="ced7e7"/>
        </w:tblPrEx>
        <w:trPr>
          <w:trHeight w:val="260" w:hRule="atLeast"/>
        </w:trPr>
        <w:tc>
          <w:tcPr>
            <w:tcW w:type="dxa" w:w="1488"/>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pPr>
            <w:r>
              <w:rPr>
                <w:color w:val="0f243e"/>
                <w:u w:color="0f243e"/>
                <w:rtl w:val="0"/>
                <w:lang w:val="it-IT"/>
              </w:rPr>
              <w:t>Francia</w:t>
            </w:r>
          </w:p>
        </w:tc>
        <w:tc>
          <w:tcPr>
            <w:tcW w:type="dxa" w:w="1417"/>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u w:color="0f243e"/>
                <w:rtl w:val="0"/>
                <w:lang w:val="it-IT"/>
              </w:rPr>
              <w:t>2,00</w:t>
            </w:r>
          </w:p>
        </w:tc>
        <w:tc>
          <w:tcPr>
            <w:tcW w:type="dxa" w:w="1560"/>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u w:color="0f243e"/>
                <w:rtl w:val="0"/>
                <w:lang w:val="it-IT"/>
              </w:rPr>
              <w:t>2,20</w:t>
            </w:r>
          </w:p>
        </w:tc>
        <w:tc>
          <w:tcPr>
            <w:tcW w:type="dxa" w:w="1645"/>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u w:color="0f243e"/>
                <w:rtl w:val="0"/>
                <w:lang w:val="it-IT"/>
              </w:rPr>
              <w:t>2,00</w:t>
            </w:r>
          </w:p>
        </w:tc>
        <w:tc>
          <w:tcPr>
            <w:tcW w:type="dxa" w:w="2048"/>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u w:color="0f243e"/>
                <w:rtl w:val="0"/>
                <w:lang w:val="it-IT"/>
              </w:rPr>
              <w:t>6,20</w:t>
            </w:r>
          </w:p>
        </w:tc>
      </w:tr>
      <w:tr>
        <w:tblPrEx>
          <w:shd w:val="clear" w:color="auto" w:fill="ced7e7"/>
        </w:tblPrEx>
        <w:trPr>
          <w:trHeight w:val="260" w:hRule="atLeast"/>
        </w:trPr>
        <w:tc>
          <w:tcPr>
            <w:tcW w:type="dxa" w:w="1488"/>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pPr>
            <w:r>
              <w:rPr>
                <w:color w:val="0f243e"/>
                <w:u w:color="0f243e"/>
                <w:rtl w:val="0"/>
                <w:lang w:val="it-IT"/>
              </w:rPr>
              <w:t>Germania</w:t>
            </w:r>
          </w:p>
        </w:tc>
        <w:tc>
          <w:tcPr>
            <w:tcW w:type="dxa" w:w="1417"/>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u w:color="0f243e"/>
                <w:rtl w:val="0"/>
                <w:lang w:val="it-IT"/>
              </w:rPr>
              <w:t>1,40</w:t>
            </w:r>
          </w:p>
        </w:tc>
        <w:tc>
          <w:tcPr>
            <w:tcW w:type="dxa" w:w="1560"/>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u w:color="0f243e"/>
                <w:rtl w:val="0"/>
                <w:lang w:val="it-IT"/>
              </w:rPr>
              <w:t>2,80</w:t>
            </w:r>
          </w:p>
        </w:tc>
        <w:tc>
          <w:tcPr>
            <w:tcW w:type="dxa" w:w="1645"/>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u w:color="0f243e"/>
                <w:rtl w:val="0"/>
                <w:lang w:val="it-IT"/>
              </w:rPr>
              <w:t>1,90</w:t>
            </w:r>
          </w:p>
        </w:tc>
        <w:tc>
          <w:tcPr>
            <w:tcW w:type="dxa" w:w="2048"/>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u w:color="0f243e"/>
                <w:rtl w:val="0"/>
                <w:lang w:val="it-IT"/>
              </w:rPr>
              <w:t>6,10</w:t>
            </w:r>
          </w:p>
        </w:tc>
      </w:tr>
      <w:tr>
        <w:tblPrEx>
          <w:shd w:val="clear" w:color="auto" w:fill="ced7e7"/>
        </w:tblPrEx>
        <w:trPr>
          <w:trHeight w:val="260" w:hRule="atLeast"/>
        </w:trPr>
        <w:tc>
          <w:tcPr>
            <w:tcW w:type="dxa" w:w="1488"/>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pPr>
            <w:r>
              <w:rPr>
                <w:color w:val="0f243e"/>
                <w:u w:color="0f243e"/>
                <w:rtl w:val="0"/>
                <w:lang w:val="it-IT"/>
              </w:rPr>
              <w:t>Slovacchia</w:t>
            </w:r>
          </w:p>
        </w:tc>
        <w:tc>
          <w:tcPr>
            <w:tcW w:type="dxa" w:w="1417"/>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u w:color="0f243e"/>
                <w:rtl w:val="0"/>
                <w:lang w:val="it-IT"/>
              </w:rPr>
              <w:t>1,90</w:t>
            </w:r>
          </w:p>
        </w:tc>
        <w:tc>
          <w:tcPr>
            <w:tcW w:type="dxa" w:w="1560"/>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u w:color="0f243e"/>
                <w:rtl w:val="0"/>
                <w:lang w:val="it-IT"/>
              </w:rPr>
              <w:t>2,20</w:t>
            </w:r>
          </w:p>
        </w:tc>
        <w:tc>
          <w:tcPr>
            <w:tcW w:type="dxa" w:w="1645"/>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u w:color="0f243e"/>
                <w:rtl w:val="0"/>
                <w:lang w:val="it-IT"/>
              </w:rPr>
              <w:t>2,00</w:t>
            </w:r>
          </w:p>
        </w:tc>
        <w:tc>
          <w:tcPr>
            <w:tcW w:type="dxa" w:w="2048"/>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u w:color="0f243e"/>
                <w:rtl w:val="0"/>
                <w:lang w:val="it-IT"/>
              </w:rPr>
              <w:t>6,10</w:t>
            </w:r>
          </w:p>
        </w:tc>
      </w:tr>
      <w:tr>
        <w:tblPrEx>
          <w:shd w:val="clear" w:color="auto" w:fill="ced7e7"/>
        </w:tblPrEx>
        <w:trPr>
          <w:trHeight w:val="260" w:hRule="atLeast"/>
        </w:trPr>
        <w:tc>
          <w:tcPr>
            <w:tcW w:type="dxa" w:w="1488"/>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pPr>
            <w:r>
              <w:rPr>
                <w:color w:val="0f243e"/>
                <w:u w:color="0f243e"/>
                <w:rtl w:val="0"/>
                <w:lang w:val="it-IT"/>
              </w:rPr>
              <w:t>Spagna</w:t>
            </w:r>
          </w:p>
        </w:tc>
        <w:tc>
          <w:tcPr>
            <w:tcW w:type="dxa" w:w="1417"/>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u w:color="0f243e"/>
                <w:rtl w:val="0"/>
                <w:lang w:val="it-IT"/>
              </w:rPr>
              <w:t>2,50</w:t>
            </w:r>
          </w:p>
        </w:tc>
        <w:tc>
          <w:tcPr>
            <w:tcW w:type="dxa" w:w="1560"/>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u w:color="0f243e"/>
                <w:rtl w:val="0"/>
                <w:lang w:val="it-IT"/>
              </w:rPr>
              <w:t>1,70</w:t>
            </w:r>
          </w:p>
        </w:tc>
        <w:tc>
          <w:tcPr>
            <w:tcW w:type="dxa" w:w="1645"/>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u w:color="0f243e"/>
                <w:rtl w:val="0"/>
                <w:lang w:val="it-IT"/>
              </w:rPr>
              <w:t>1,90</w:t>
            </w:r>
          </w:p>
        </w:tc>
        <w:tc>
          <w:tcPr>
            <w:tcW w:type="dxa" w:w="2048"/>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u w:color="0f243e"/>
                <w:rtl w:val="0"/>
                <w:lang w:val="it-IT"/>
              </w:rPr>
              <w:t>6,10</w:t>
            </w:r>
          </w:p>
        </w:tc>
      </w:tr>
      <w:tr>
        <w:tblPrEx>
          <w:shd w:val="clear" w:color="auto" w:fill="ced7e7"/>
        </w:tblPrEx>
        <w:trPr>
          <w:trHeight w:val="260" w:hRule="atLeast"/>
        </w:trPr>
        <w:tc>
          <w:tcPr>
            <w:tcW w:type="dxa" w:w="1488"/>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pPr>
            <w:r>
              <w:rPr>
                <w:color w:val="0f243e"/>
                <w:u w:color="0f243e"/>
                <w:rtl w:val="0"/>
                <w:lang w:val="it-IT"/>
              </w:rPr>
              <w:t>Austria</w:t>
            </w:r>
          </w:p>
        </w:tc>
        <w:tc>
          <w:tcPr>
            <w:tcW w:type="dxa" w:w="1417"/>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u w:color="0f243e"/>
                <w:rtl w:val="0"/>
                <w:lang w:val="it-IT"/>
              </w:rPr>
              <w:t>1,70</w:t>
            </w:r>
          </w:p>
        </w:tc>
        <w:tc>
          <w:tcPr>
            <w:tcW w:type="dxa" w:w="1560"/>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u w:color="0f243e"/>
                <w:rtl w:val="0"/>
                <w:lang w:val="it-IT"/>
              </w:rPr>
              <w:t>2,30</w:t>
            </w:r>
          </w:p>
        </w:tc>
        <w:tc>
          <w:tcPr>
            <w:tcW w:type="dxa" w:w="1645"/>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u w:color="0f243e"/>
                <w:rtl w:val="0"/>
                <w:lang w:val="it-IT"/>
              </w:rPr>
              <w:t>1,90</w:t>
            </w:r>
          </w:p>
        </w:tc>
        <w:tc>
          <w:tcPr>
            <w:tcW w:type="dxa" w:w="2048"/>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u w:color="0f243e"/>
                <w:rtl w:val="0"/>
                <w:lang w:val="it-IT"/>
              </w:rPr>
              <w:t>5,90</w:t>
            </w:r>
          </w:p>
        </w:tc>
      </w:tr>
      <w:tr>
        <w:tblPrEx>
          <w:shd w:val="clear" w:color="auto" w:fill="ced7e7"/>
        </w:tblPrEx>
        <w:trPr>
          <w:trHeight w:val="260" w:hRule="atLeast"/>
        </w:trPr>
        <w:tc>
          <w:tcPr>
            <w:tcW w:type="dxa" w:w="1488"/>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pPr>
            <w:r>
              <w:rPr>
                <w:color w:val="0f243e"/>
                <w:u w:color="0f243e"/>
                <w:rtl w:val="0"/>
                <w:lang w:val="it-IT"/>
              </w:rPr>
              <w:t>Rep Ceca</w:t>
            </w:r>
          </w:p>
        </w:tc>
        <w:tc>
          <w:tcPr>
            <w:tcW w:type="dxa" w:w="1417"/>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u w:color="0f243e"/>
                <w:rtl w:val="0"/>
                <w:lang w:val="it-IT"/>
              </w:rPr>
              <w:t>1,80</w:t>
            </w:r>
          </w:p>
        </w:tc>
        <w:tc>
          <w:tcPr>
            <w:tcW w:type="dxa" w:w="1560"/>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u w:color="0f243e"/>
                <w:rtl w:val="0"/>
                <w:lang w:val="it-IT"/>
              </w:rPr>
              <w:t>2,10</w:t>
            </w:r>
          </w:p>
        </w:tc>
        <w:tc>
          <w:tcPr>
            <w:tcW w:type="dxa" w:w="1645"/>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u w:color="0f243e"/>
                <w:rtl w:val="0"/>
                <w:lang w:val="it-IT"/>
              </w:rPr>
              <w:t>2,00</w:t>
            </w:r>
          </w:p>
        </w:tc>
        <w:tc>
          <w:tcPr>
            <w:tcW w:type="dxa" w:w="2048"/>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u w:color="0f243e"/>
                <w:rtl w:val="0"/>
                <w:lang w:val="it-IT"/>
              </w:rPr>
              <w:t>5,90</w:t>
            </w:r>
          </w:p>
        </w:tc>
      </w:tr>
      <w:tr>
        <w:tblPrEx>
          <w:shd w:val="clear" w:color="auto" w:fill="ced7e7"/>
        </w:tblPrEx>
        <w:trPr>
          <w:trHeight w:val="300" w:hRule="atLeast"/>
        </w:trPr>
        <w:tc>
          <w:tcPr>
            <w:tcW w:type="dxa" w:w="1488"/>
            <w:tcBorders>
              <w:top w:val="nil"/>
              <w:left w:val="nil"/>
              <w:bottom w:val="nil"/>
              <w:right w:val="nil"/>
            </w:tcBorders>
            <w:shd w:val="clear" w:color="auto" w:fill="ffff00"/>
            <w:tcMar>
              <w:top w:type="dxa" w:w="80"/>
              <w:left w:type="dxa" w:w="80"/>
              <w:bottom w:type="dxa" w:w="80"/>
              <w:right w:type="dxa" w:w="80"/>
            </w:tcMar>
            <w:vAlign w:val="bottom"/>
          </w:tcPr>
          <w:p>
            <w:pPr>
              <w:pStyle w:val="Normale"/>
              <w:spacing w:after="0" w:line="240" w:lineRule="auto"/>
            </w:pPr>
            <w:r>
              <w:rPr>
                <w:b w:val="1"/>
                <w:bCs w:val="1"/>
                <w:color w:val="0f243e"/>
                <w:sz w:val="24"/>
                <w:szCs w:val="24"/>
                <w:u w:color="0f243e"/>
                <w:rtl w:val="0"/>
                <w:lang w:val="it-IT"/>
              </w:rPr>
              <w:t>Italia</w:t>
            </w:r>
          </w:p>
        </w:tc>
        <w:tc>
          <w:tcPr>
            <w:tcW w:type="dxa" w:w="1417"/>
            <w:tcBorders>
              <w:top w:val="nil"/>
              <w:left w:val="nil"/>
              <w:bottom w:val="nil"/>
              <w:right w:val="nil"/>
            </w:tcBorders>
            <w:shd w:val="clear" w:color="auto" w:fill="ffff00"/>
            <w:tcMar>
              <w:top w:type="dxa" w:w="80"/>
              <w:left w:type="dxa" w:w="80"/>
              <w:bottom w:type="dxa" w:w="80"/>
              <w:right w:type="dxa" w:w="80"/>
            </w:tcMar>
            <w:vAlign w:val="bottom"/>
          </w:tcPr>
          <w:p>
            <w:pPr>
              <w:pStyle w:val="Normale"/>
              <w:spacing w:after="0" w:line="240" w:lineRule="auto"/>
              <w:jc w:val="right"/>
            </w:pPr>
            <w:r>
              <w:rPr>
                <w:b w:val="1"/>
                <w:bCs w:val="1"/>
                <w:color w:val="0f243e"/>
                <w:sz w:val="24"/>
                <w:szCs w:val="24"/>
                <w:u w:color="0f243e"/>
                <w:rtl w:val="0"/>
                <w:lang w:val="it-IT"/>
              </w:rPr>
              <w:t>2,00</w:t>
            </w:r>
          </w:p>
        </w:tc>
        <w:tc>
          <w:tcPr>
            <w:tcW w:type="dxa" w:w="1560"/>
            <w:tcBorders>
              <w:top w:val="nil"/>
              <w:left w:val="nil"/>
              <w:bottom w:val="nil"/>
              <w:right w:val="nil"/>
            </w:tcBorders>
            <w:shd w:val="clear" w:color="auto" w:fill="ffff00"/>
            <w:tcMar>
              <w:top w:type="dxa" w:w="80"/>
              <w:left w:type="dxa" w:w="80"/>
              <w:bottom w:type="dxa" w:w="80"/>
              <w:right w:type="dxa" w:w="80"/>
            </w:tcMar>
            <w:vAlign w:val="bottom"/>
          </w:tcPr>
          <w:p>
            <w:pPr>
              <w:pStyle w:val="Normale"/>
              <w:spacing w:after="0" w:line="240" w:lineRule="auto"/>
              <w:jc w:val="right"/>
            </w:pPr>
            <w:r>
              <w:rPr>
                <w:b w:val="1"/>
                <w:bCs w:val="1"/>
                <w:color w:val="0f243e"/>
                <w:sz w:val="24"/>
                <w:szCs w:val="24"/>
                <w:u w:color="0f243e"/>
                <w:rtl w:val="0"/>
                <w:lang w:val="it-IT"/>
              </w:rPr>
              <w:t>1,40</w:t>
            </w:r>
          </w:p>
        </w:tc>
        <w:tc>
          <w:tcPr>
            <w:tcW w:type="dxa" w:w="1645"/>
            <w:tcBorders>
              <w:top w:val="nil"/>
              <w:left w:val="nil"/>
              <w:bottom w:val="nil"/>
              <w:right w:val="nil"/>
            </w:tcBorders>
            <w:shd w:val="clear" w:color="auto" w:fill="ffff00"/>
            <w:tcMar>
              <w:top w:type="dxa" w:w="80"/>
              <w:left w:type="dxa" w:w="80"/>
              <w:bottom w:type="dxa" w:w="80"/>
              <w:right w:type="dxa" w:w="80"/>
            </w:tcMar>
            <w:vAlign w:val="bottom"/>
          </w:tcPr>
          <w:p>
            <w:pPr>
              <w:pStyle w:val="Normale"/>
              <w:spacing w:after="0" w:line="240" w:lineRule="auto"/>
              <w:jc w:val="right"/>
            </w:pPr>
            <w:r>
              <w:rPr>
                <w:b w:val="1"/>
                <w:bCs w:val="1"/>
                <w:color w:val="0f243e"/>
                <w:sz w:val="24"/>
                <w:szCs w:val="24"/>
                <w:u w:color="0f243e"/>
                <w:rtl w:val="0"/>
                <w:lang w:val="it-IT"/>
              </w:rPr>
              <w:t>2,00</w:t>
            </w:r>
          </w:p>
        </w:tc>
        <w:tc>
          <w:tcPr>
            <w:tcW w:type="dxa" w:w="2048"/>
            <w:tcBorders>
              <w:top w:val="nil"/>
              <w:left w:val="nil"/>
              <w:bottom w:val="nil"/>
              <w:right w:val="nil"/>
            </w:tcBorders>
            <w:shd w:val="clear" w:color="auto" w:fill="ffff00"/>
            <w:tcMar>
              <w:top w:type="dxa" w:w="80"/>
              <w:left w:type="dxa" w:w="80"/>
              <w:bottom w:type="dxa" w:w="80"/>
              <w:right w:type="dxa" w:w="80"/>
            </w:tcMar>
            <w:vAlign w:val="bottom"/>
          </w:tcPr>
          <w:p>
            <w:pPr>
              <w:pStyle w:val="Normale"/>
              <w:spacing w:after="0" w:line="240" w:lineRule="auto"/>
              <w:jc w:val="right"/>
            </w:pPr>
            <w:r>
              <w:rPr>
                <w:b w:val="1"/>
                <w:bCs w:val="1"/>
                <w:color w:val="0f243e"/>
                <w:sz w:val="24"/>
                <w:szCs w:val="24"/>
                <w:u w:color="0f243e"/>
                <w:rtl w:val="0"/>
                <w:lang w:val="it-IT"/>
              </w:rPr>
              <w:t>5,40</w:t>
            </w:r>
          </w:p>
        </w:tc>
      </w:tr>
      <w:tr>
        <w:tblPrEx>
          <w:shd w:val="clear" w:color="auto" w:fill="ced7e7"/>
        </w:tblPrEx>
        <w:trPr>
          <w:trHeight w:val="260" w:hRule="atLeast"/>
        </w:trPr>
        <w:tc>
          <w:tcPr>
            <w:tcW w:type="dxa" w:w="1488"/>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pPr>
            <w:r>
              <w:rPr>
                <w:color w:val="0f243e"/>
                <w:u w:color="0f243e"/>
                <w:rtl w:val="0"/>
                <w:lang w:val="it-IT"/>
              </w:rPr>
              <w:t>Ungheria</w:t>
            </w:r>
          </w:p>
        </w:tc>
        <w:tc>
          <w:tcPr>
            <w:tcW w:type="dxa" w:w="1417"/>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u w:color="0f243e"/>
                <w:rtl w:val="0"/>
                <w:lang w:val="it-IT"/>
              </w:rPr>
              <w:t>1,20</w:t>
            </w:r>
          </w:p>
        </w:tc>
        <w:tc>
          <w:tcPr>
            <w:tcW w:type="dxa" w:w="1560"/>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u w:color="0f243e"/>
                <w:rtl w:val="0"/>
                <w:lang w:val="it-IT"/>
              </w:rPr>
              <w:t>1,20</w:t>
            </w:r>
          </w:p>
        </w:tc>
        <w:tc>
          <w:tcPr>
            <w:tcW w:type="dxa" w:w="1645"/>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u w:color="0f243e"/>
                <w:rtl w:val="0"/>
                <w:lang w:val="it-IT"/>
              </w:rPr>
              <w:t>2,90</w:t>
            </w:r>
          </w:p>
        </w:tc>
        <w:tc>
          <w:tcPr>
            <w:tcW w:type="dxa" w:w="2048"/>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0f243e"/>
                <w:u w:color="0f243e"/>
                <w:rtl w:val="0"/>
                <w:lang w:val="it-IT"/>
              </w:rPr>
              <w:t>5,30</w:t>
            </w:r>
          </w:p>
        </w:tc>
      </w:tr>
      <w:tr>
        <w:tblPrEx>
          <w:shd w:val="clear" w:color="auto" w:fill="ced7e7"/>
        </w:tblPrEx>
        <w:trPr>
          <w:trHeight w:val="220" w:hRule="atLeast"/>
        </w:trPr>
        <w:tc>
          <w:tcPr>
            <w:tcW w:type="dxa" w:w="8158"/>
            <w:gridSpan w:val="5"/>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center"/>
            </w:pPr>
            <w:r>
              <w:rPr>
                <w:b w:val="1"/>
                <w:bCs w:val="1"/>
                <w:color w:val="0f243e"/>
                <w:sz w:val="18"/>
                <w:szCs w:val="18"/>
                <w:u w:color="0f243e"/>
                <w:rtl w:val="0"/>
                <w:lang w:val="it-IT"/>
              </w:rPr>
              <w:t>(Elaborazione UIL Scuola su dati Ocse, Regards sur l'</w:t>
            </w:r>
            <w:r>
              <w:rPr>
                <w:b w:val="1"/>
                <w:bCs w:val="1"/>
                <w:color w:val="0f243e"/>
                <w:sz w:val="18"/>
                <w:szCs w:val="18"/>
                <w:u w:color="0f243e"/>
                <w:rtl w:val="0"/>
                <w:lang w:val="it-IT"/>
              </w:rPr>
              <w:t>é</w:t>
            </w:r>
            <w:r>
              <w:rPr>
                <w:b w:val="1"/>
                <w:bCs w:val="1"/>
                <w:color w:val="0f243e"/>
                <w:sz w:val="18"/>
                <w:szCs w:val="18"/>
                <w:u w:color="0f243e"/>
                <w:rtl w:val="0"/>
                <w:lang w:val="it-IT"/>
              </w:rPr>
              <w:t>ducation 2017)</w:t>
            </w:r>
          </w:p>
        </w:tc>
      </w:tr>
    </w:tbl>
    <w:p>
      <w:pPr>
        <w:pStyle w:val="Normale"/>
        <w:spacing w:line="240" w:lineRule="auto"/>
        <w:jc w:val="both"/>
      </w:pPr>
    </w:p>
    <w:p>
      <w:pPr>
        <w:pStyle w:val="Normale"/>
      </w:pPr>
    </w:p>
    <w:p>
      <w:pPr>
        <w:pStyle w:val="Normale"/>
      </w:pPr>
    </w:p>
    <w:p>
      <w:pPr>
        <w:pStyle w:val="Normale"/>
      </w:pPr>
    </w:p>
    <w:p>
      <w:pPr>
        <w:pStyle w:val="Normale"/>
      </w:pPr>
    </w:p>
    <w:p>
      <w:pPr>
        <w:pStyle w:val="Normale"/>
      </w:pPr>
    </w:p>
    <w:p>
      <w:pPr>
        <w:pStyle w:val="Normale"/>
      </w:pPr>
    </w:p>
    <w:p>
      <w:pPr>
        <w:pStyle w:val="Normale"/>
      </w:pPr>
    </w:p>
    <w:p>
      <w:pPr>
        <w:pStyle w:val="Normale"/>
      </w:pPr>
    </w:p>
    <w:p>
      <w:pPr>
        <w:pStyle w:val="Normale"/>
      </w:pPr>
    </w:p>
    <w:p>
      <w:pPr>
        <w:pStyle w:val="Normale"/>
      </w:pPr>
    </w:p>
    <w:p>
      <w:pPr>
        <w:pStyle w:val="Normale"/>
      </w:pPr>
    </w:p>
    <w:p>
      <w:pPr>
        <w:pStyle w:val="Normale"/>
      </w:pPr>
    </w:p>
    <w:p>
      <w:pPr>
        <w:pStyle w:val="Normale"/>
      </w:pPr>
    </w:p>
    <w:p>
      <w:pPr>
        <w:pStyle w:val="Normale"/>
      </w:pPr>
    </w:p>
    <w:p>
      <w:pPr>
        <w:pStyle w:val="Normale"/>
        <w:rPr>
          <w:sz w:val="24"/>
          <w:szCs w:val="24"/>
        </w:rPr>
      </w:pPr>
    </w:p>
    <w:p>
      <w:pPr>
        <w:pStyle w:val="Normale"/>
        <w:jc w:val="center"/>
        <w:rPr>
          <w:sz w:val="24"/>
          <w:szCs w:val="24"/>
        </w:rPr>
      </w:pPr>
    </w:p>
    <w:p>
      <w:pPr>
        <w:pStyle w:val="Normale"/>
        <w:jc w:val="center"/>
        <w:rPr>
          <w:b w:val="1"/>
          <w:bCs w:val="1"/>
          <w:color w:val="0f243e"/>
          <w:sz w:val="40"/>
          <w:szCs w:val="40"/>
          <w:u w:color="0f243e"/>
        </w:rPr>
      </w:pPr>
      <w:r>
        <w:rPr>
          <w:b w:val="1"/>
          <w:bCs w:val="1"/>
          <w:color w:val="0f243e"/>
          <w:sz w:val="40"/>
          <w:szCs w:val="40"/>
          <w:u w:color="0f243e"/>
          <w:rtl w:val="0"/>
          <w:lang w:val="it-IT"/>
        </w:rPr>
        <w:t>Il nodo delle retribuzioni</w:t>
      </w:r>
    </w:p>
    <w:p>
      <w:pPr>
        <w:pStyle w:val="Normale"/>
        <w:spacing w:after="0"/>
        <w:ind w:left="567" w:right="981" w:firstLine="0"/>
        <w:rPr>
          <w:color w:val="0f243e"/>
          <w:sz w:val="24"/>
          <w:szCs w:val="24"/>
          <w:u w:color="0f243e"/>
        </w:rPr>
      </w:pPr>
      <w:r>
        <w:rPr>
          <w:b w:val="1"/>
          <w:bCs w:val="1"/>
          <w:color w:val="0f243e"/>
          <w:sz w:val="40"/>
          <w:szCs w:val="40"/>
          <w:u w:color="0f243e"/>
        </w:rPr>
        <w:br w:type="textWrapping"/>
      </w:r>
      <w:r>
        <w:rPr>
          <w:i w:val="1"/>
          <w:iCs w:val="1"/>
          <w:color w:val="0f243e"/>
          <w:sz w:val="24"/>
          <w:szCs w:val="24"/>
          <w:u w:color="0f243e"/>
          <w:rtl w:val="0"/>
          <w:lang w:val="it-IT"/>
        </w:rPr>
        <w:t>Quali sono le conseguenze delle politiche finanziarie degli Stati sulle retribuzioni degli insegnanti?</w:t>
      </w:r>
      <w:r>
        <w:rPr>
          <w:color w:val="0f243e"/>
          <w:sz w:val="24"/>
          <w:szCs w:val="24"/>
          <w:u w:color="0f243e"/>
          <w:rtl w:val="0"/>
          <w:lang w:val="it-IT"/>
        </w:rPr>
        <w:t xml:space="preserve"> </w:t>
        <w:br w:type="textWrapping"/>
      </w:r>
    </w:p>
    <w:p>
      <w:pPr>
        <w:pStyle w:val="Normale"/>
        <w:spacing w:after="0"/>
        <w:ind w:left="567" w:right="981" w:firstLine="0"/>
        <w:rPr>
          <w:color w:val="0f243e"/>
          <w:sz w:val="24"/>
          <w:szCs w:val="24"/>
          <w:u w:color="0f243e"/>
        </w:rPr>
      </w:pPr>
      <w:r>
        <w:rPr>
          <w:color w:val="0f243e"/>
          <w:sz w:val="24"/>
          <w:szCs w:val="24"/>
          <w:u w:color="0f243e"/>
          <w:rtl w:val="0"/>
          <w:lang w:val="it-IT"/>
        </w:rPr>
        <w:t xml:space="preserve">La tabella che segue ce lo mostra: </w:t>
      </w:r>
      <w:r>
        <w:rPr>
          <w:b w:val="1"/>
          <w:bCs w:val="1"/>
          <w:color w:val="0f243e"/>
          <w:sz w:val="24"/>
          <w:szCs w:val="24"/>
          <w:u w:color="0f243e"/>
          <w:rtl w:val="0"/>
          <w:lang w:val="it-IT"/>
        </w:rPr>
        <w:t>sui venti Paesi dell</w:t>
      </w:r>
      <w:r>
        <w:rPr>
          <w:b w:val="1"/>
          <w:bCs w:val="1"/>
          <w:color w:val="0f243e"/>
          <w:sz w:val="24"/>
          <w:szCs w:val="24"/>
          <w:u w:color="0f243e"/>
          <w:rtl w:val="0"/>
          <w:lang w:val="it-IT"/>
        </w:rPr>
        <w:t>’</w:t>
      </w:r>
      <w:r>
        <w:rPr>
          <w:b w:val="1"/>
          <w:bCs w:val="1"/>
          <w:color w:val="0f243e"/>
          <w:sz w:val="24"/>
          <w:szCs w:val="24"/>
          <w:u w:color="0f243e"/>
          <w:rtl w:val="0"/>
          <w:lang w:val="it-IT"/>
        </w:rPr>
        <w:t>Unione Europea censiti dall</w:t>
      </w:r>
      <w:r>
        <w:rPr>
          <w:b w:val="1"/>
          <w:bCs w:val="1"/>
          <w:color w:val="0f243e"/>
          <w:sz w:val="24"/>
          <w:szCs w:val="24"/>
          <w:u w:color="0f243e"/>
          <w:rtl w:val="0"/>
          <w:lang w:val="it-IT"/>
        </w:rPr>
        <w:t>’</w:t>
      </w:r>
      <w:r>
        <w:rPr>
          <w:b w:val="1"/>
          <w:bCs w:val="1"/>
          <w:color w:val="0f243e"/>
          <w:sz w:val="24"/>
          <w:szCs w:val="24"/>
          <w:u w:color="0f243e"/>
          <w:rtl w:val="0"/>
          <w:lang w:val="it-IT"/>
        </w:rPr>
        <w:t>OCSE figuriamo nella parte basse della classifica, al di sotto della media, con differenze che aumentano sensibilmente con il crescere dell</w:t>
      </w:r>
      <w:r>
        <w:rPr>
          <w:b w:val="1"/>
          <w:bCs w:val="1"/>
          <w:color w:val="0f243e"/>
          <w:sz w:val="24"/>
          <w:szCs w:val="24"/>
          <w:u w:color="0f243e"/>
          <w:rtl w:val="0"/>
          <w:lang w:val="it-IT"/>
        </w:rPr>
        <w:t>’</w:t>
      </w:r>
      <w:r>
        <w:rPr>
          <w:b w:val="1"/>
          <w:bCs w:val="1"/>
          <w:color w:val="0f243e"/>
          <w:sz w:val="24"/>
          <w:szCs w:val="24"/>
          <w:u w:color="0f243e"/>
          <w:rtl w:val="0"/>
          <w:lang w:val="it-IT"/>
        </w:rPr>
        <w:t>anzianit</w:t>
      </w:r>
      <w:r>
        <w:rPr>
          <w:b w:val="1"/>
          <w:bCs w:val="1"/>
          <w:color w:val="0f243e"/>
          <w:sz w:val="24"/>
          <w:szCs w:val="24"/>
          <w:u w:color="0f243e"/>
          <w:rtl w:val="0"/>
          <w:lang w:val="it-IT"/>
        </w:rPr>
        <w:t xml:space="preserve">à </w:t>
      </w:r>
      <w:r>
        <w:rPr>
          <w:b w:val="1"/>
          <w:bCs w:val="1"/>
          <w:color w:val="0f243e"/>
          <w:sz w:val="24"/>
          <w:szCs w:val="24"/>
          <w:u w:color="0f243e"/>
          <w:rtl w:val="0"/>
          <w:lang w:val="it-IT"/>
        </w:rPr>
        <w:t>di servizio.</w:t>
      </w:r>
      <w:r>
        <w:rPr>
          <w:color w:val="0f243e"/>
          <w:sz w:val="24"/>
          <w:szCs w:val="24"/>
          <w:u w:color="0f243e"/>
          <w:rtl w:val="0"/>
          <w:lang w:val="it-IT"/>
        </w:rPr>
        <w:t xml:space="preserve"> </w:t>
      </w:r>
    </w:p>
    <w:p>
      <w:pPr>
        <w:pStyle w:val="Normale"/>
        <w:spacing w:after="0"/>
        <w:ind w:left="567" w:right="981" w:firstLine="0"/>
        <w:rPr>
          <w:color w:val="0f243e"/>
          <w:sz w:val="24"/>
          <w:szCs w:val="24"/>
          <w:u w:color="0f243e"/>
        </w:rPr>
      </w:pPr>
    </w:p>
    <w:p>
      <w:pPr>
        <w:pStyle w:val="Normale"/>
        <w:spacing w:after="0"/>
        <w:ind w:left="567" w:right="981" w:firstLine="0"/>
        <w:rPr>
          <w:color w:val="0f243e"/>
          <w:sz w:val="24"/>
          <w:szCs w:val="24"/>
          <w:u w:color="0f243e"/>
        </w:rPr>
      </w:pPr>
      <w:r>
        <w:rPr>
          <w:color w:val="0f243e"/>
          <w:sz w:val="24"/>
          <w:szCs w:val="24"/>
          <w:u w:color="0f243e"/>
          <w:rtl w:val="0"/>
          <w:lang w:val="it-IT"/>
        </w:rPr>
        <w:t xml:space="preserve">Occorre sfatare una fake news: </w:t>
      </w:r>
      <w:r>
        <w:rPr>
          <w:b w:val="1"/>
          <w:bCs w:val="1"/>
          <w:color w:val="0f243e"/>
          <w:sz w:val="24"/>
          <w:szCs w:val="24"/>
          <w:u w:color="0f243e"/>
          <w:rtl w:val="0"/>
          <w:lang w:val="it-IT"/>
        </w:rPr>
        <w:t>la progressione per anzianit</w:t>
      </w:r>
      <w:r>
        <w:rPr>
          <w:b w:val="1"/>
          <w:bCs w:val="1"/>
          <w:color w:val="0f243e"/>
          <w:sz w:val="24"/>
          <w:szCs w:val="24"/>
          <w:u w:color="0f243e"/>
          <w:rtl w:val="0"/>
          <w:lang w:val="it-IT"/>
        </w:rPr>
        <w:t xml:space="preserve">à </w:t>
      </w:r>
      <w:r>
        <w:rPr>
          <w:b w:val="1"/>
          <w:bCs w:val="1"/>
          <w:color w:val="0f243e"/>
          <w:sz w:val="24"/>
          <w:szCs w:val="24"/>
          <w:u w:color="0f243e"/>
          <w:rtl w:val="0"/>
          <w:lang w:val="it-IT"/>
        </w:rPr>
        <w:t>esiste in quasi tutti i Paesi  europei</w:t>
      </w:r>
      <w:r>
        <w:rPr>
          <w:color w:val="0f243e"/>
          <w:sz w:val="24"/>
          <w:szCs w:val="24"/>
          <w:u w:color="0f243e"/>
          <w:rtl w:val="0"/>
          <w:lang w:val="it-IT"/>
        </w:rPr>
        <w:t xml:space="preserve"> (con l</w:t>
      </w:r>
      <w:r>
        <w:rPr>
          <w:color w:val="0f243e"/>
          <w:sz w:val="24"/>
          <w:szCs w:val="24"/>
          <w:u w:color="0f243e"/>
          <w:rtl w:val="0"/>
          <w:lang w:val="it-IT"/>
        </w:rPr>
        <w:t>’</w:t>
      </w:r>
      <w:r>
        <w:rPr>
          <w:color w:val="0f243e"/>
          <w:sz w:val="24"/>
          <w:szCs w:val="24"/>
          <w:u w:color="0f243e"/>
          <w:rtl w:val="0"/>
          <w:lang w:val="it-IT"/>
        </w:rPr>
        <w:t>eccezione dell</w:t>
      </w:r>
      <w:r>
        <w:rPr>
          <w:color w:val="0f243e"/>
          <w:sz w:val="24"/>
          <w:szCs w:val="24"/>
          <w:u w:color="0f243e"/>
          <w:rtl w:val="0"/>
          <w:lang w:val="it-IT"/>
        </w:rPr>
        <w:t>’</w:t>
      </w:r>
      <w:r>
        <w:rPr>
          <w:color w:val="0f243e"/>
          <w:sz w:val="24"/>
          <w:szCs w:val="24"/>
          <w:u w:color="0f243e"/>
          <w:rtl w:val="0"/>
          <w:lang w:val="it-IT"/>
        </w:rPr>
        <w:t>Estonia e, parzialmente, della Lituania), naturalmente ognuno con le proprie modalit</w:t>
      </w:r>
      <w:r>
        <w:rPr>
          <w:color w:val="0f243e"/>
          <w:sz w:val="24"/>
          <w:szCs w:val="24"/>
          <w:u w:color="0f243e"/>
          <w:rtl w:val="0"/>
          <w:lang w:val="it-IT"/>
        </w:rPr>
        <w:t xml:space="preserve">à </w:t>
      </w:r>
      <w:r>
        <w:rPr>
          <w:color w:val="0f243e"/>
          <w:sz w:val="24"/>
          <w:szCs w:val="24"/>
          <w:u w:color="0f243e"/>
          <w:rtl w:val="0"/>
          <w:lang w:val="it-IT"/>
        </w:rPr>
        <w:t>quantitative e temporali (da poco meno del 50% a oltre il  raddoppio tra iniziale e massimo; con percorrenza di 8 anni (come la Danimarca, a 35 anni, come da noi, per arrivare all</w:t>
      </w:r>
      <w:r>
        <w:rPr>
          <w:color w:val="0f243e"/>
          <w:sz w:val="24"/>
          <w:szCs w:val="24"/>
          <w:u w:color="0f243e"/>
          <w:rtl w:val="0"/>
          <w:lang w:val="it-IT"/>
        </w:rPr>
        <w:t>’</w:t>
      </w:r>
      <w:r>
        <w:rPr>
          <w:color w:val="0f243e"/>
          <w:sz w:val="24"/>
          <w:szCs w:val="24"/>
          <w:u w:color="0f243e"/>
          <w:rtl w:val="0"/>
          <w:lang w:val="it-IT"/>
        </w:rPr>
        <w:t>Ungheria, con 40 anni).</w:t>
      </w:r>
    </w:p>
    <w:p>
      <w:pPr>
        <w:pStyle w:val="Normale"/>
        <w:spacing w:after="0"/>
        <w:ind w:left="567" w:right="981" w:firstLine="0"/>
        <w:rPr>
          <w:color w:val="0f243e"/>
          <w:sz w:val="24"/>
          <w:szCs w:val="24"/>
          <w:u w:color="0f243e"/>
        </w:rPr>
      </w:pPr>
    </w:p>
    <w:p>
      <w:pPr>
        <w:pStyle w:val="Normale"/>
        <w:spacing w:after="0"/>
        <w:ind w:left="567" w:right="981" w:firstLine="0"/>
        <w:rPr>
          <w:sz w:val="24"/>
          <w:szCs w:val="24"/>
        </w:rPr>
      </w:pPr>
      <w:r>
        <w:rPr>
          <w:color w:val="0f243e"/>
          <w:sz w:val="24"/>
          <w:szCs w:val="24"/>
          <w:u w:color="0f243e"/>
          <w:rtl w:val="0"/>
          <w:lang w:val="it-IT"/>
        </w:rPr>
        <w:t xml:space="preserve">In diversi Paesi, la valutazione del merito, legata a meccanismi stabiliti in ciascun Paese, </w:t>
      </w:r>
      <w:r>
        <w:rPr>
          <w:color w:val="0f243e"/>
          <w:sz w:val="24"/>
          <w:szCs w:val="24"/>
          <w:u w:color="0f243e"/>
          <w:rtl w:val="0"/>
          <w:lang w:val="it-IT"/>
        </w:rPr>
        <w:t xml:space="preserve">è </w:t>
      </w:r>
      <w:r>
        <w:rPr>
          <w:color w:val="0f243e"/>
          <w:sz w:val="24"/>
          <w:szCs w:val="24"/>
          <w:u w:color="0f243e"/>
          <w:rtl w:val="0"/>
          <w:lang w:val="it-IT"/>
        </w:rPr>
        <w:t>aggiuntiva rispetto agli avanzamenti per anzianit</w:t>
      </w:r>
      <w:r>
        <w:rPr>
          <w:color w:val="0f243e"/>
          <w:sz w:val="24"/>
          <w:szCs w:val="24"/>
          <w:u w:color="0f243e"/>
          <w:rtl w:val="0"/>
          <w:lang w:val="it-IT"/>
        </w:rPr>
        <w:t>à</w:t>
      </w:r>
      <w:r>
        <w:rPr>
          <w:color w:val="0f243e"/>
          <w:sz w:val="24"/>
          <w:szCs w:val="24"/>
          <w:u w:color="0f243e"/>
          <w:rtl w:val="0"/>
          <w:lang w:val="it-IT"/>
        </w:rPr>
        <w:t>, dove volontariamente attraverso procedure concorsuali periodiche, dove demandata ad organismi indipendenti esterni, dove ad autority specifiche dell</w:t>
      </w:r>
      <w:r>
        <w:rPr>
          <w:color w:val="0f243e"/>
          <w:sz w:val="24"/>
          <w:szCs w:val="24"/>
          <w:u w:color="0f243e"/>
          <w:rtl w:val="0"/>
          <w:lang w:val="it-IT"/>
        </w:rPr>
        <w:t>’</w:t>
      </w:r>
      <w:r>
        <w:rPr>
          <w:color w:val="0f243e"/>
          <w:sz w:val="24"/>
          <w:szCs w:val="24"/>
          <w:u w:color="0f243e"/>
          <w:rtl w:val="0"/>
          <w:lang w:val="it-IT"/>
        </w:rPr>
        <w:t>amministrazione scolastica, dove al capo dell</w:t>
      </w:r>
      <w:r>
        <w:rPr>
          <w:color w:val="0f243e"/>
          <w:sz w:val="24"/>
          <w:szCs w:val="24"/>
          <w:u w:color="0f243e"/>
          <w:rtl w:val="0"/>
          <w:lang w:val="it-IT"/>
        </w:rPr>
        <w:t>’</w:t>
      </w:r>
      <w:r>
        <w:rPr>
          <w:color w:val="0f243e"/>
          <w:sz w:val="24"/>
          <w:szCs w:val="24"/>
          <w:u w:color="0f243e"/>
          <w:rtl w:val="0"/>
          <w:lang w:val="it-IT"/>
        </w:rPr>
        <w:t>istituzione scolastica</w:t>
      </w:r>
      <w:r>
        <w:rPr>
          <w:sz w:val="24"/>
          <w:szCs w:val="24"/>
          <w:rtl w:val="0"/>
          <w:lang w:val="it-IT"/>
        </w:rPr>
        <w:t>.</w:t>
      </w:r>
    </w:p>
    <w:p>
      <w:pPr>
        <w:pStyle w:val="Normale"/>
        <w:spacing w:after="0"/>
        <w:ind w:left="567" w:right="981" w:firstLine="0"/>
        <w:rPr>
          <w:sz w:val="24"/>
          <w:szCs w:val="24"/>
        </w:rPr>
      </w:pPr>
    </w:p>
    <w:p>
      <w:pPr>
        <w:pStyle w:val="Normale"/>
        <w:spacing w:after="0"/>
        <w:ind w:left="567" w:right="981" w:firstLine="0"/>
        <w:rPr>
          <w:sz w:val="24"/>
          <w:szCs w:val="24"/>
        </w:rPr>
      </w:pPr>
    </w:p>
    <w:p>
      <w:pPr>
        <w:pStyle w:val="Normale"/>
        <w:spacing w:after="0"/>
        <w:ind w:left="567" w:right="981" w:firstLine="0"/>
        <w:rPr>
          <w:sz w:val="24"/>
          <w:szCs w:val="24"/>
        </w:rPr>
      </w:pPr>
    </w:p>
    <w:p>
      <w:pPr>
        <w:pStyle w:val="Normale"/>
        <w:spacing w:after="0"/>
        <w:ind w:left="567" w:right="981" w:firstLine="0"/>
        <w:rPr>
          <w:sz w:val="24"/>
          <w:szCs w:val="24"/>
        </w:rPr>
      </w:pPr>
    </w:p>
    <w:p>
      <w:pPr>
        <w:pStyle w:val="Normale"/>
        <w:spacing w:after="0"/>
        <w:ind w:left="567" w:right="981" w:firstLine="0"/>
        <w:rPr>
          <w:sz w:val="24"/>
          <w:szCs w:val="24"/>
        </w:rPr>
      </w:pPr>
    </w:p>
    <w:p>
      <w:pPr>
        <w:pStyle w:val="Normale"/>
        <w:spacing w:after="0"/>
        <w:ind w:left="567" w:right="981" w:firstLine="0"/>
        <w:rPr>
          <w:sz w:val="24"/>
          <w:szCs w:val="24"/>
        </w:rPr>
      </w:pPr>
    </w:p>
    <w:p>
      <w:pPr>
        <w:pStyle w:val="Normale"/>
        <w:spacing w:after="0"/>
        <w:ind w:left="567" w:right="981" w:firstLine="0"/>
        <w:rPr>
          <w:sz w:val="24"/>
          <w:szCs w:val="24"/>
        </w:rPr>
      </w:pPr>
    </w:p>
    <w:p>
      <w:pPr>
        <w:pStyle w:val="Normale"/>
        <w:spacing w:after="0"/>
        <w:ind w:left="567" w:right="981" w:firstLine="0"/>
        <w:rPr>
          <w:sz w:val="24"/>
          <w:szCs w:val="24"/>
        </w:rPr>
      </w:pPr>
    </w:p>
    <w:p>
      <w:pPr>
        <w:pStyle w:val="Normale"/>
        <w:spacing w:after="0"/>
        <w:ind w:left="567" w:right="981" w:firstLine="0"/>
        <w:rPr>
          <w:sz w:val="24"/>
          <w:szCs w:val="24"/>
        </w:rPr>
      </w:pPr>
    </w:p>
    <w:p>
      <w:pPr>
        <w:pStyle w:val="Normale"/>
        <w:spacing w:after="0"/>
        <w:ind w:left="567" w:right="981" w:firstLine="0"/>
        <w:rPr>
          <w:sz w:val="24"/>
          <w:szCs w:val="24"/>
        </w:rPr>
      </w:pPr>
    </w:p>
    <w:p>
      <w:pPr>
        <w:pStyle w:val="Normale"/>
        <w:spacing w:after="0"/>
        <w:ind w:left="567" w:right="981" w:firstLine="0"/>
        <w:rPr>
          <w:sz w:val="24"/>
          <w:szCs w:val="24"/>
        </w:rPr>
      </w:pPr>
    </w:p>
    <w:p>
      <w:pPr>
        <w:pStyle w:val="Normale"/>
        <w:spacing w:after="0"/>
        <w:ind w:left="567" w:right="981" w:firstLine="0"/>
        <w:rPr>
          <w:sz w:val="24"/>
          <w:szCs w:val="24"/>
        </w:rPr>
      </w:pPr>
    </w:p>
    <w:p>
      <w:pPr>
        <w:pStyle w:val="Normale"/>
        <w:spacing w:after="0"/>
        <w:ind w:left="567" w:right="981" w:firstLine="0"/>
        <w:rPr>
          <w:sz w:val="24"/>
          <w:szCs w:val="24"/>
        </w:rPr>
      </w:pPr>
    </w:p>
    <w:p>
      <w:pPr>
        <w:pStyle w:val="Normale"/>
        <w:spacing w:after="0"/>
        <w:ind w:left="567" w:right="981" w:firstLine="0"/>
        <w:rPr>
          <w:sz w:val="24"/>
          <w:szCs w:val="24"/>
        </w:rPr>
      </w:pPr>
    </w:p>
    <w:p>
      <w:pPr>
        <w:pStyle w:val="Normale"/>
        <w:spacing w:after="0"/>
        <w:ind w:left="567" w:right="981" w:firstLine="0"/>
        <w:rPr>
          <w:sz w:val="24"/>
          <w:szCs w:val="24"/>
        </w:rPr>
      </w:pPr>
    </w:p>
    <w:p>
      <w:pPr>
        <w:pStyle w:val="Normale"/>
        <w:spacing w:after="0"/>
        <w:ind w:left="567" w:right="981" w:firstLine="0"/>
        <w:rPr>
          <w:sz w:val="24"/>
          <w:szCs w:val="24"/>
        </w:rPr>
      </w:pPr>
    </w:p>
    <w:p>
      <w:pPr>
        <w:pStyle w:val="Normale"/>
        <w:spacing w:after="0"/>
        <w:ind w:left="567" w:right="981" w:firstLine="0"/>
        <w:rPr>
          <w:sz w:val="24"/>
          <w:szCs w:val="24"/>
        </w:rPr>
      </w:pPr>
    </w:p>
    <w:p>
      <w:pPr>
        <w:pStyle w:val="Normale"/>
        <w:spacing w:after="0"/>
        <w:ind w:left="567" w:right="981" w:firstLine="0"/>
        <w:rPr>
          <w:sz w:val="24"/>
          <w:szCs w:val="24"/>
        </w:rPr>
      </w:pPr>
    </w:p>
    <w:p>
      <w:pPr>
        <w:pStyle w:val="Normale"/>
        <w:spacing w:after="0"/>
        <w:ind w:left="567" w:right="981" w:firstLine="0"/>
      </w:pPr>
    </w:p>
    <w:tbl>
      <w:tblPr>
        <w:tblW w:w="10316" w:type="dxa"/>
        <w:jc w:val="center"/>
        <w:tblInd w:w="17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898"/>
        <w:gridCol w:w="850"/>
        <w:gridCol w:w="877"/>
        <w:gridCol w:w="1078"/>
        <w:gridCol w:w="850"/>
        <w:gridCol w:w="878"/>
        <w:gridCol w:w="1078"/>
        <w:gridCol w:w="850"/>
        <w:gridCol w:w="878"/>
        <w:gridCol w:w="1079"/>
      </w:tblGrid>
      <w:tr>
        <w:tblPrEx>
          <w:shd w:val="clear" w:color="auto" w:fill="ced7e7"/>
        </w:tblPrEx>
        <w:trPr>
          <w:trHeight w:val="1260" w:hRule="atLeast"/>
        </w:trPr>
        <w:tc>
          <w:tcPr>
            <w:tcW w:type="dxa" w:w="10316"/>
            <w:gridSpan w:val="10"/>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center"/>
              <w:rPr>
                <w:b w:val="1"/>
                <w:bCs w:val="1"/>
                <w:color w:val="002060"/>
                <w:sz w:val="40"/>
                <w:szCs w:val="40"/>
                <w:u w:color="002060"/>
              </w:rPr>
            </w:pPr>
            <w:r>
              <w:rPr>
                <w:b w:val="1"/>
                <w:bCs w:val="1"/>
                <w:color w:val="002060"/>
                <w:sz w:val="40"/>
                <w:szCs w:val="40"/>
                <w:u w:color="002060"/>
                <w:rtl w:val="0"/>
                <w:lang w:val="it-IT"/>
              </w:rPr>
              <w:t>Stipendi docenti</w:t>
            </w:r>
          </w:p>
          <w:p>
            <w:pPr>
              <w:pStyle w:val="Normale"/>
              <w:bidi w:val="0"/>
              <w:spacing w:after="0" w:line="240" w:lineRule="auto"/>
              <w:ind w:left="0" w:right="0" w:firstLine="0"/>
              <w:jc w:val="center"/>
              <w:rPr>
                <w:rtl w:val="0"/>
              </w:rPr>
            </w:pPr>
            <w:r>
              <w:rPr>
                <w:b w:val="1"/>
                <w:bCs w:val="1"/>
                <w:color w:val="002060"/>
                <w:sz w:val="40"/>
                <w:szCs w:val="40"/>
                <w:u w:color="002060"/>
                <w:lang w:val="it-IT"/>
              </w:rPr>
              <w:br w:type="textWrapping"/>
            </w:r>
            <w:r>
              <w:rPr>
                <w:b w:val="1"/>
                <w:bCs w:val="1"/>
                <w:color w:val="002060"/>
                <w:sz w:val="28"/>
                <w:szCs w:val="28"/>
                <w:u w:color="002060"/>
                <w:rtl w:val="0"/>
                <w:lang w:val="it-IT"/>
              </w:rPr>
              <w:t>Tabellare: iniziale, a 15 anni e a fine carriera</w:t>
            </w:r>
          </w:p>
        </w:tc>
      </w:tr>
      <w:tr>
        <w:tblPrEx>
          <w:shd w:val="clear" w:color="auto" w:fill="ced7e7"/>
        </w:tblPrEx>
        <w:trPr>
          <w:trHeight w:val="500" w:hRule="atLeast"/>
        </w:trPr>
        <w:tc>
          <w:tcPr>
            <w:tcW w:type="dxa" w:w="10316"/>
            <w:gridSpan w:val="10"/>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center"/>
            </w:pPr>
            <w:r>
              <w:rPr>
                <w:b w:val="1"/>
                <w:bCs w:val="1"/>
                <w:color w:val="002060"/>
                <w:u w:color="002060"/>
                <w:rtl w:val="0"/>
                <w:lang w:val="it-IT"/>
              </w:rPr>
              <w:t xml:space="preserve">Importi convertiti in Euro </w:t>
            </w:r>
            <w:r>
              <w:rPr>
                <w:b w:val="1"/>
                <w:bCs w:val="1"/>
                <w:color w:val="002060"/>
                <w:u w:color="002060"/>
                <w:lang w:val="it-IT"/>
              </w:rPr>
              <w:br w:type="textWrapping"/>
            </w:r>
            <w:r>
              <w:rPr>
                <w:b w:val="1"/>
                <w:bCs w:val="1"/>
                <w:color w:val="002060"/>
                <w:u w:color="002060"/>
                <w:rtl w:val="0"/>
                <w:lang w:val="it-IT"/>
              </w:rPr>
              <w:t xml:space="preserve">FONTE OCSE </w:t>
            </w:r>
            <w:r>
              <w:rPr>
                <w:b w:val="1"/>
                <w:bCs w:val="1"/>
                <w:color w:val="002060"/>
                <w:u w:color="002060"/>
                <w:rtl w:val="0"/>
                <w:lang w:val="it-IT"/>
              </w:rPr>
              <w:t xml:space="preserve">– </w:t>
            </w:r>
            <w:r>
              <w:rPr>
                <w:b w:val="1"/>
                <w:bCs w:val="1"/>
                <w:color w:val="002060"/>
                <w:u w:color="002060"/>
                <w:rtl w:val="0"/>
                <w:lang w:val="it-IT"/>
              </w:rPr>
              <w:t>database in dollari USA rapportati alla Parit</w:t>
            </w:r>
            <w:r>
              <w:rPr>
                <w:b w:val="1"/>
                <w:bCs w:val="1"/>
                <w:color w:val="002060"/>
                <w:u w:color="002060"/>
                <w:rtl w:val="0"/>
                <w:lang w:val="it-IT"/>
              </w:rPr>
              <w:t xml:space="preserve">à </w:t>
            </w:r>
            <w:r>
              <w:rPr>
                <w:b w:val="1"/>
                <w:bCs w:val="1"/>
                <w:color w:val="002060"/>
                <w:u w:color="002060"/>
                <w:rtl w:val="0"/>
                <w:lang w:val="it-IT"/>
              </w:rPr>
              <w:t>di Potere d'Acquisto - PPA</w:t>
            </w:r>
          </w:p>
        </w:tc>
      </w:tr>
      <w:tr>
        <w:tblPrEx>
          <w:shd w:val="clear" w:color="auto" w:fill="ced7e7"/>
        </w:tblPrEx>
        <w:trPr>
          <w:trHeight w:val="260" w:hRule="atLeast"/>
        </w:trPr>
        <w:tc>
          <w:tcPr>
            <w:tcW w:type="dxa" w:w="10316"/>
            <w:gridSpan w:val="10"/>
            <w:tcBorders>
              <w:top w:val="nil"/>
              <w:left w:val="nil"/>
              <w:bottom w:val="single" w:color="000000" w:sz="8" w:space="0" w:shadow="0" w:frame="0"/>
              <w:right w:val="nil"/>
            </w:tcBorders>
            <w:shd w:val="clear" w:color="auto" w:fill="auto"/>
            <w:tcMar>
              <w:top w:type="dxa" w:w="80"/>
              <w:left w:type="dxa" w:w="80"/>
              <w:bottom w:type="dxa" w:w="80"/>
              <w:right w:type="dxa" w:w="80"/>
            </w:tcMar>
            <w:vAlign w:val="bottom"/>
          </w:tcPr>
          <w:p/>
        </w:tc>
      </w:tr>
      <w:tr>
        <w:tblPrEx>
          <w:shd w:val="clear" w:color="auto" w:fill="ced7e7"/>
        </w:tblPrEx>
        <w:trPr>
          <w:trHeight w:val="300" w:hRule="atLeast"/>
        </w:trPr>
        <w:tc>
          <w:tcPr>
            <w:tcW w:type="dxa" w:w="189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pPr>
            <w:r>
              <w:rPr>
                <w:sz w:val="24"/>
                <w:szCs w:val="24"/>
                <w:rtl w:val="0"/>
                <w:lang w:val="it-IT"/>
              </w:rPr>
              <w:t> </w:t>
            </w:r>
          </w:p>
        </w:tc>
        <w:tc>
          <w:tcPr>
            <w:tcW w:type="dxa" w:w="2805"/>
            <w:gridSpan w:val="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jc w:val="center"/>
            </w:pPr>
            <w:r>
              <w:rPr>
                <w:b w:val="1"/>
                <w:bCs w:val="1"/>
                <w:sz w:val="24"/>
                <w:szCs w:val="24"/>
                <w:rtl w:val="0"/>
                <w:lang w:val="it-IT"/>
              </w:rPr>
              <w:t>scuola primaria</w:t>
            </w:r>
          </w:p>
        </w:tc>
        <w:tc>
          <w:tcPr>
            <w:tcW w:type="dxa" w:w="2806"/>
            <w:gridSpan w:val="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jc w:val="center"/>
            </w:pPr>
            <w:r>
              <w:rPr>
                <w:b w:val="1"/>
                <w:bCs w:val="1"/>
                <w:sz w:val="24"/>
                <w:szCs w:val="24"/>
                <w:rtl w:val="0"/>
                <w:lang w:val="it-IT"/>
              </w:rPr>
              <w:t>scuola secondaria 1</w:t>
            </w:r>
            <w:r>
              <w:rPr>
                <w:b w:val="1"/>
                <w:bCs w:val="1"/>
                <w:sz w:val="24"/>
                <w:szCs w:val="24"/>
                <w:rtl w:val="0"/>
                <w:lang w:val="it-IT"/>
              </w:rPr>
              <w:t>°</w:t>
            </w:r>
          </w:p>
        </w:tc>
        <w:tc>
          <w:tcPr>
            <w:tcW w:type="dxa" w:w="2806"/>
            <w:gridSpan w:val="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jc w:val="center"/>
            </w:pPr>
            <w:r>
              <w:rPr>
                <w:b w:val="1"/>
                <w:bCs w:val="1"/>
                <w:sz w:val="24"/>
                <w:szCs w:val="24"/>
                <w:rtl w:val="0"/>
                <w:lang w:val="it-IT"/>
              </w:rPr>
              <w:t>scuola secondaria 2</w:t>
            </w:r>
            <w:r>
              <w:rPr>
                <w:b w:val="1"/>
                <w:bCs w:val="1"/>
                <w:sz w:val="24"/>
                <w:szCs w:val="24"/>
                <w:rtl w:val="0"/>
                <w:lang w:val="it-IT"/>
              </w:rPr>
              <w:t>°</w:t>
            </w:r>
          </w:p>
        </w:tc>
      </w:tr>
      <w:tr>
        <w:tblPrEx>
          <w:shd w:val="clear" w:color="auto" w:fill="ced7e7"/>
        </w:tblPrEx>
        <w:trPr>
          <w:trHeight w:val="580" w:hRule="atLeast"/>
        </w:trPr>
        <w:tc>
          <w:tcPr>
            <w:tcW w:type="dxa" w:w="1898"/>
            <w:tcBorders>
              <w:top w:val="single" w:color="000000" w:sz="8" w:space="0" w:shadow="0" w:frame="0"/>
              <w:left w:val="nil"/>
              <w:bottom w:val="nil"/>
              <w:right w:val="single" w:color="000000" w:sz="8" w:space="0" w:shadow="0" w:frame="0"/>
            </w:tcBorders>
            <w:shd w:val="clear" w:color="auto" w:fill="auto"/>
            <w:tcMar>
              <w:top w:type="dxa" w:w="80"/>
              <w:left w:type="dxa" w:w="80"/>
              <w:bottom w:type="dxa" w:w="80"/>
              <w:right w:type="dxa" w:w="80"/>
            </w:tcMar>
            <w:vAlign w:val="bottom"/>
          </w:tcPr>
          <w:p/>
        </w:tc>
        <w:tc>
          <w:tcPr>
            <w:tcW w:type="dxa" w:w="850"/>
            <w:tcBorders>
              <w:top w:val="single" w:color="000000" w:sz="8" w:space="0" w:shadow="0" w:frame="0"/>
              <w:left w:val="single" w:color="000000" w:sz="8" w:space="0" w:shadow="0" w:frame="0"/>
              <w:bottom w:val="single" w:color="000000" w:sz="8" w:space="0" w:shadow="0" w:frame="0"/>
              <w:right w:val="nil"/>
            </w:tcBorders>
            <w:shd w:val="clear" w:color="auto" w:fill="auto"/>
            <w:tcMar>
              <w:top w:type="dxa" w:w="80"/>
              <w:left w:type="dxa" w:w="80"/>
              <w:bottom w:type="dxa" w:w="80"/>
              <w:right w:type="dxa" w:w="80"/>
            </w:tcMar>
            <w:vAlign w:val="bottom"/>
          </w:tcPr>
          <w:p>
            <w:pPr>
              <w:pStyle w:val="Normale"/>
              <w:spacing w:after="0" w:line="240" w:lineRule="auto"/>
              <w:jc w:val="center"/>
            </w:pPr>
            <w:r>
              <w:rPr>
                <w:b w:val="1"/>
                <w:bCs w:val="1"/>
                <w:sz w:val="24"/>
                <w:szCs w:val="24"/>
                <w:rtl w:val="0"/>
                <w:lang w:val="it-IT"/>
              </w:rPr>
              <w:t>iniziale</w:t>
            </w:r>
          </w:p>
        </w:tc>
        <w:tc>
          <w:tcPr>
            <w:tcW w:type="dxa" w:w="877"/>
            <w:tcBorders>
              <w:top w:val="single" w:color="000000" w:sz="8"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pPr>
              <w:pStyle w:val="Normale"/>
              <w:spacing w:after="0" w:line="240" w:lineRule="auto"/>
              <w:jc w:val="center"/>
            </w:pPr>
            <w:r>
              <w:rPr>
                <w:b w:val="1"/>
                <w:bCs w:val="1"/>
                <w:sz w:val="24"/>
                <w:szCs w:val="24"/>
                <w:rtl w:val="0"/>
                <w:lang w:val="it-IT"/>
              </w:rPr>
              <w:t>15 anni</w:t>
            </w:r>
          </w:p>
        </w:tc>
        <w:tc>
          <w:tcPr>
            <w:tcW w:type="dxa" w:w="1077"/>
            <w:tcBorders>
              <w:top w:val="single" w:color="000000" w:sz="8" w:space="0" w:shadow="0" w:frame="0"/>
              <w:left w:val="nil"/>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jc w:val="center"/>
            </w:pPr>
            <w:r>
              <w:rPr>
                <w:b w:val="1"/>
                <w:bCs w:val="1"/>
                <w:sz w:val="24"/>
                <w:szCs w:val="24"/>
                <w:rtl w:val="0"/>
                <w:lang w:val="it-IT"/>
              </w:rPr>
              <w:t>massimo</w:t>
            </w:r>
          </w:p>
        </w:tc>
        <w:tc>
          <w:tcPr>
            <w:tcW w:type="dxa" w:w="850"/>
            <w:tcBorders>
              <w:top w:val="single" w:color="000000" w:sz="8" w:space="0" w:shadow="0" w:frame="0"/>
              <w:left w:val="single" w:color="000000" w:sz="8" w:space="0" w:shadow="0" w:frame="0"/>
              <w:bottom w:val="single" w:color="000000" w:sz="8" w:space="0" w:shadow="0" w:frame="0"/>
              <w:right w:val="nil"/>
            </w:tcBorders>
            <w:shd w:val="clear" w:color="auto" w:fill="auto"/>
            <w:tcMar>
              <w:top w:type="dxa" w:w="80"/>
              <w:left w:type="dxa" w:w="80"/>
              <w:bottom w:type="dxa" w:w="80"/>
              <w:right w:type="dxa" w:w="80"/>
            </w:tcMar>
            <w:vAlign w:val="bottom"/>
          </w:tcPr>
          <w:p>
            <w:pPr>
              <w:pStyle w:val="Normale"/>
              <w:spacing w:after="0" w:line="240" w:lineRule="auto"/>
              <w:jc w:val="center"/>
            </w:pPr>
            <w:r>
              <w:rPr>
                <w:b w:val="1"/>
                <w:bCs w:val="1"/>
                <w:sz w:val="24"/>
                <w:szCs w:val="24"/>
                <w:rtl w:val="0"/>
                <w:lang w:val="it-IT"/>
              </w:rPr>
              <w:t>iniziale</w:t>
            </w:r>
          </w:p>
        </w:tc>
        <w:tc>
          <w:tcPr>
            <w:tcW w:type="dxa" w:w="878"/>
            <w:tcBorders>
              <w:top w:val="single" w:color="000000" w:sz="8"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pPr>
              <w:pStyle w:val="Normale"/>
              <w:spacing w:after="0" w:line="240" w:lineRule="auto"/>
              <w:jc w:val="center"/>
            </w:pPr>
            <w:r>
              <w:rPr>
                <w:b w:val="1"/>
                <w:bCs w:val="1"/>
                <w:sz w:val="24"/>
                <w:szCs w:val="24"/>
                <w:rtl w:val="0"/>
                <w:lang w:val="it-IT"/>
              </w:rPr>
              <w:t>15 anni</w:t>
            </w:r>
          </w:p>
        </w:tc>
        <w:tc>
          <w:tcPr>
            <w:tcW w:type="dxa" w:w="1078"/>
            <w:tcBorders>
              <w:top w:val="single" w:color="000000" w:sz="8" w:space="0" w:shadow="0" w:frame="0"/>
              <w:left w:val="nil"/>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jc w:val="center"/>
            </w:pPr>
            <w:r>
              <w:rPr>
                <w:b w:val="1"/>
                <w:bCs w:val="1"/>
                <w:sz w:val="24"/>
                <w:szCs w:val="24"/>
                <w:rtl w:val="0"/>
                <w:lang w:val="it-IT"/>
              </w:rPr>
              <w:t>massimo</w:t>
            </w:r>
          </w:p>
        </w:tc>
        <w:tc>
          <w:tcPr>
            <w:tcW w:type="dxa" w:w="849"/>
            <w:tcBorders>
              <w:top w:val="single" w:color="000000" w:sz="8" w:space="0" w:shadow="0" w:frame="0"/>
              <w:left w:val="single" w:color="000000" w:sz="8" w:space="0" w:shadow="0" w:frame="0"/>
              <w:bottom w:val="single" w:color="000000" w:sz="8" w:space="0" w:shadow="0" w:frame="0"/>
              <w:right w:val="nil"/>
            </w:tcBorders>
            <w:shd w:val="clear" w:color="auto" w:fill="auto"/>
            <w:tcMar>
              <w:top w:type="dxa" w:w="80"/>
              <w:left w:type="dxa" w:w="80"/>
              <w:bottom w:type="dxa" w:w="80"/>
              <w:right w:type="dxa" w:w="80"/>
            </w:tcMar>
            <w:vAlign w:val="bottom"/>
          </w:tcPr>
          <w:p>
            <w:pPr>
              <w:pStyle w:val="Normale"/>
              <w:spacing w:after="0" w:line="240" w:lineRule="auto"/>
              <w:jc w:val="center"/>
            </w:pPr>
            <w:r>
              <w:rPr>
                <w:b w:val="1"/>
                <w:bCs w:val="1"/>
                <w:sz w:val="24"/>
                <w:szCs w:val="24"/>
                <w:rtl w:val="0"/>
                <w:lang w:val="it-IT"/>
              </w:rPr>
              <w:t>iniziale</w:t>
            </w:r>
          </w:p>
        </w:tc>
        <w:tc>
          <w:tcPr>
            <w:tcW w:type="dxa" w:w="878"/>
            <w:tcBorders>
              <w:top w:val="single" w:color="000000" w:sz="8"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pPr>
              <w:pStyle w:val="Normale"/>
              <w:spacing w:after="0" w:line="240" w:lineRule="auto"/>
              <w:jc w:val="center"/>
            </w:pPr>
            <w:r>
              <w:rPr>
                <w:b w:val="1"/>
                <w:bCs w:val="1"/>
                <w:sz w:val="24"/>
                <w:szCs w:val="24"/>
                <w:rtl w:val="0"/>
                <w:lang w:val="it-IT"/>
              </w:rPr>
              <w:t>15 anni</w:t>
            </w:r>
          </w:p>
        </w:tc>
        <w:tc>
          <w:tcPr>
            <w:tcW w:type="dxa" w:w="1078"/>
            <w:tcBorders>
              <w:top w:val="single" w:color="000000" w:sz="8" w:space="0" w:shadow="0" w:frame="0"/>
              <w:left w:val="nil"/>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jc w:val="center"/>
            </w:pPr>
            <w:r>
              <w:rPr>
                <w:b w:val="1"/>
                <w:bCs w:val="1"/>
                <w:sz w:val="24"/>
                <w:szCs w:val="24"/>
                <w:rtl w:val="0"/>
                <w:lang w:val="it-IT"/>
              </w:rPr>
              <w:t>massimo</w:t>
            </w:r>
          </w:p>
        </w:tc>
      </w:tr>
      <w:tr>
        <w:tblPrEx>
          <w:shd w:val="clear" w:color="auto" w:fill="ced7e7"/>
        </w:tblPrEx>
        <w:trPr>
          <w:trHeight w:val="580" w:hRule="atLeast"/>
        </w:trPr>
        <w:tc>
          <w:tcPr>
            <w:tcW w:type="dxa" w:w="1898"/>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pPr>
            <w:r>
              <w:rPr>
                <w:b w:val="1"/>
                <w:bCs w:val="1"/>
                <w:sz w:val="24"/>
                <w:szCs w:val="24"/>
                <w:rtl w:val="0"/>
                <w:lang w:val="it-IT"/>
              </w:rPr>
              <w:t>Lussemburgo</w:t>
            </w:r>
          </w:p>
        </w:tc>
        <w:tc>
          <w:tcPr>
            <w:tcW w:type="dxa" w:w="850"/>
            <w:tcBorders>
              <w:top w:val="single" w:color="000000" w:sz="8" w:space="0" w:shadow="0" w:frame="0"/>
              <w:left w:val="single" w:color="000000" w:sz="8" w:space="0" w:shadow="0" w:frame="0"/>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56.968</w:t>
            </w:r>
          </w:p>
        </w:tc>
        <w:tc>
          <w:tcPr>
            <w:tcW w:type="dxa" w:w="877"/>
            <w:tcBorders>
              <w:top w:val="single" w:color="000000" w:sz="8" w:space="0" w:shadow="0" w:frame="0"/>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90.627</w:t>
            </w:r>
          </w:p>
        </w:tc>
        <w:tc>
          <w:tcPr>
            <w:tcW w:type="dxa" w:w="1077"/>
            <w:tcBorders>
              <w:top w:val="single" w:color="000000" w:sz="8" w:space="0" w:shadow="0" w:frame="0"/>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102.075</w:t>
            </w:r>
          </w:p>
        </w:tc>
        <w:tc>
          <w:tcPr>
            <w:tcW w:type="dxa" w:w="850"/>
            <w:tcBorders>
              <w:top w:val="single" w:color="000000" w:sz="8" w:space="0" w:shadow="0" w:frame="0"/>
              <w:left w:val="single" w:color="000000" w:sz="8" w:space="0" w:shadow="0" w:frame="0"/>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66.107</w:t>
            </w:r>
          </w:p>
        </w:tc>
        <w:tc>
          <w:tcPr>
            <w:tcW w:type="dxa" w:w="878"/>
            <w:tcBorders>
              <w:top w:val="single" w:color="000000" w:sz="8" w:space="0" w:shadow="0" w:frame="0"/>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94.299</w:t>
            </w:r>
          </w:p>
        </w:tc>
        <w:tc>
          <w:tcPr>
            <w:tcW w:type="dxa" w:w="1078"/>
            <w:tcBorders>
              <w:top w:val="single" w:color="000000" w:sz="8" w:space="0" w:shadow="0" w:frame="0"/>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114.908</w:t>
            </w:r>
          </w:p>
        </w:tc>
        <w:tc>
          <w:tcPr>
            <w:tcW w:type="dxa" w:w="849"/>
            <w:tcBorders>
              <w:top w:val="single" w:color="000000" w:sz="8" w:space="0" w:shadow="0" w:frame="0"/>
              <w:left w:val="single" w:color="000000" w:sz="8" w:space="0" w:shadow="0" w:frame="0"/>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66.107</w:t>
            </w:r>
          </w:p>
        </w:tc>
        <w:tc>
          <w:tcPr>
            <w:tcW w:type="dxa" w:w="878"/>
            <w:tcBorders>
              <w:top w:val="single" w:color="000000" w:sz="8" w:space="0" w:shadow="0" w:frame="0"/>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94.299</w:t>
            </w:r>
          </w:p>
        </w:tc>
        <w:tc>
          <w:tcPr>
            <w:tcW w:type="dxa" w:w="1078"/>
            <w:tcBorders>
              <w:top w:val="single" w:color="000000" w:sz="8" w:space="0" w:shadow="0" w:frame="0"/>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114.908</w:t>
            </w:r>
          </w:p>
        </w:tc>
      </w:tr>
      <w:tr>
        <w:tblPrEx>
          <w:shd w:val="clear" w:color="auto" w:fill="ced7e7"/>
        </w:tblPrEx>
        <w:trPr>
          <w:trHeight w:val="580" w:hRule="atLeast"/>
        </w:trPr>
        <w:tc>
          <w:tcPr>
            <w:tcW w:type="dxa" w:w="1898"/>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pPr>
            <w:r>
              <w:rPr>
                <w:b w:val="1"/>
                <w:bCs w:val="1"/>
                <w:sz w:val="24"/>
                <w:szCs w:val="24"/>
                <w:rtl w:val="0"/>
                <w:lang w:val="it-IT"/>
              </w:rPr>
              <w:t>Germania</w:t>
            </w:r>
          </w:p>
        </w:tc>
        <w:tc>
          <w:tcPr>
            <w:tcW w:type="dxa" w:w="85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45.364</w:t>
            </w:r>
          </w:p>
        </w:tc>
        <w:tc>
          <w:tcPr>
            <w:tcW w:type="dxa" w:w="877"/>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57.036</w:t>
            </w:r>
          </w:p>
        </w:tc>
        <w:tc>
          <w:tcPr>
            <w:tcW w:type="dxa" w:w="1077"/>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60.406</w:t>
            </w:r>
          </w:p>
        </w:tc>
        <w:tc>
          <w:tcPr>
            <w:tcW w:type="dxa" w:w="85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51.016</w:t>
            </w:r>
          </w:p>
        </w:tc>
        <w:tc>
          <w:tcPr>
            <w:tcW w:type="dxa" w:w="878"/>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61.744</w:t>
            </w:r>
          </w:p>
        </w:tc>
        <w:tc>
          <w:tcPr>
            <w:tcW w:type="dxa" w:w="1078"/>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67.258</w:t>
            </w:r>
          </w:p>
        </w:tc>
        <w:tc>
          <w:tcPr>
            <w:tcW w:type="dxa" w:w="849"/>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51.334</w:t>
            </w:r>
          </w:p>
        </w:tc>
        <w:tc>
          <w:tcPr>
            <w:tcW w:type="dxa" w:w="878"/>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65.496</w:t>
            </w:r>
          </w:p>
        </w:tc>
        <w:tc>
          <w:tcPr>
            <w:tcW w:type="dxa" w:w="1078"/>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74.538</w:t>
            </w:r>
          </w:p>
        </w:tc>
      </w:tr>
      <w:tr>
        <w:tblPrEx>
          <w:shd w:val="clear" w:color="auto" w:fill="ced7e7"/>
        </w:tblPrEx>
        <w:trPr>
          <w:trHeight w:val="580" w:hRule="atLeast"/>
        </w:trPr>
        <w:tc>
          <w:tcPr>
            <w:tcW w:type="dxa" w:w="1898"/>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pPr>
            <w:r>
              <w:rPr>
                <w:b w:val="1"/>
                <w:bCs w:val="1"/>
                <w:sz w:val="24"/>
                <w:szCs w:val="24"/>
                <w:rtl w:val="0"/>
                <w:lang w:val="it-IT"/>
              </w:rPr>
              <w:t>Olanda</w:t>
            </w:r>
          </w:p>
        </w:tc>
        <w:tc>
          <w:tcPr>
            <w:tcW w:type="dxa" w:w="85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30.541</w:t>
            </w:r>
          </w:p>
        </w:tc>
        <w:tc>
          <w:tcPr>
            <w:tcW w:type="dxa" w:w="877"/>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46.070</w:t>
            </w:r>
          </w:p>
        </w:tc>
        <w:tc>
          <w:tcPr>
            <w:tcW w:type="dxa" w:w="1077"/>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45.960</w:t>
            </w:r>
          </w:p>
        </w:tc>
        <w:tc>
          <w:tcPr>
            <w:tcW w:type="dxa" w:w="85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32.677</w:t>
            </w:r>
          </w:p>
        </w:tc>
        <w:tc>
          <w:tcPr>
            <w:tcW w:type="dxa" w:w="878"/>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57.735</w:t>
            </w:r>
          </w:p>
        </w:tc>
        <w:tc>
          <w:tcPr>
            <w:tcW w:type="dxa" w:w="1078"/>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57.735</w:t>
            </w:r>
          </w:p>
        </w:tc>
        <w:tc>
          <w:tcPr>
            <w:tcW w:type="dxa" w:w="849"/>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32.677</w:t>
            </w:r>
          </w:p>
        </w:tc>
        <w:tc>
          <w:tcPr>
            <w:tcW w:type="dxa" w:w="878"/>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57.735</w:t>
            </w:r>
          </w:p>
        </w:tc>
        <w:tc>
          <w:tcPr>
            <w:tcW w:type="dxa" w:w="1078"/>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57.735</w:t>
            </w:r>
          </w:p>
        </w:tc>
      </w:tr>
      <w:tr>
        <w:tblPrEx>
          <w:shd w:val="clear" w:color="auto" w:fill="ced7e7"/>
        </w:tblPrEx>
        <w:trPr>
          <w:trHeight w:val="580" w:hRule="atLeast"/>
        </w:trPr>
        <w:tc>
          <w:tcPr>
            <w:tcW w:type="dxa" w:w="1898"/>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pPr>
            <w:r>
              <w:rPr>
                <w:b w:val="1"/>
                <w:bCs w:val="1"/>
                <w:sz w:val="24"/>
                <w:szCs w:val="24"/>
                <w:rtl w:val="0"/>
                <w:lang w:val="it-IT"/>
              </w:rPr>
              <w:t>Austria</w:t>
            </w:r>
          </w:p>
        </w:tc>
        <w:tc>
          <w:tcPr>
            <w:tcW w:type="dxa" w:w="85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28.338</w:t>
            </w:r>
          </w:p>
        </w:tc>
        <w:tc>
          <w:tcPr>
            <w:tcW w:type="dxa" w:w="877"/>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37.413</w:t>
            </w:r>
          </w:p>
        </w:tc>
        <w:tc>
          <w:tcPr>
            <w:tcW w:type="dxa" w:w="1077"/>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55.448</w:t>
            </w:r>
          </w:p>
        </w:tc>
        <w:tc>
          <w:tcPr>
            <w:tcW w:type="dxa" w:w="85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29.625</w:t>
            </w:r>
          </w:p>
        </w:tc>
        <w:tc>
          <w:tcPr>
            <w:tcW w:type="dxa" w:w="878"/>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40.360</w:t>
            </w:r>
          </w:p>
        </w:tc>
        <w:tc>
          <w:tcPr>
            <w:tcW w:type="dxa" w:w="1078"/>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57.351</w:t>
            </w:r>
          </w:p>
        </w:tc>
        <w:tc>
          <w:tcPr>
            <w:tcW w:type="dxa" w:w="849"/>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31.026</w:t>
            </w:r>
          </w:p>
        </w:tc>
        <w:tc>
          <w:tcPr>
            <w:tcW w:type="dxa" w:w="878"/>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43.450</w:t>
            </w:r>
          </w:p>
        </w:tc>
        <w:tc>
          <w:tcPr>
            <w:tcW w:type="dxa" w:w="1078"/>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63.366</w:t>
            </w:r>
          </w:p>
        </w:tc>
      </w:tr>
      <w:tr>
        <w:tblPrEx>
          <w:shd w:val="clear" w:color="auto" w:fill="ced7e7"/>
        </w:tblPrEx>
        <w:trPr>
          <w:trHeight w:val="580" w:hRule="atLeast"/>
        </w:trPr>
        <w:tc>
          <w:tcPr>
            <w:tcW w:type="dxa" w:w="1898"/>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pPr>
            <w:r>
              <w:rPr>
                <w:b w:val="1"/>
                <w:bCs w:val="1"/>
                <w:sz w:val="24"/>
                <w:szCs w:val="24"/>
                <w:rtl w:val="0"/>
                <w:lang w:val="it-IT"/>
              </w:rPr>
              <w:t>Irlanda</w:t>
            </w:r>
          </w:p>
        </w:tc>
        <w:tc>
          <w:tcPr>
            <w:tcW w:type="dxa" w:w="85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25.616</w:t>
            </w:r>
          </w:p>
        </w:tc>
        <w:tc>
          <w:tcPr>
            <w:tcW w:type="dxa" w:w="877"/>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47.999</w:t>
            </w:r>
          </w:p>
        </w:tc>
        <w:tc>
          <w:tcPr>
            <w:tcW w:type="dxa" w:w="1077"/>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53.630</w:t>
            </w:r>
          </w:p>
        </w:tc>
        <w:tc>
          <w:tcPr>
            <w:tcW w:type="dxa" w:w="85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25.616</w:t>
            </w:r>
          </w:p>
        </w:tc>
        <w:tc>
          <w:tcPr>
            <w:tcW w:type="dxa" w:w="878"/>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48.376</w:t>
            </w:r>
          </w:p>
        </w:tc>
        <w:tc>
          <w:tcPr>
            <w:tcW w:type="dxa" w:w="1078"/>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54.122</w:t>
            </w:r>
          </w:p>
        </w:tc>
        <w:tc>
          <w:tcPr>
            <w:tcW w:type="dxa" w:w="849"/>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25.616</w:t>
            </w:r>
          </w:p>
        </w:tc>
        <w:tc>
          <w:tcPr>
            <w:tcW w:type="dxa" w:w="878"/>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48.376</w:t>
            </w:r>
          </w:p>
        </w:tc>
        <w:tc>
          <w:tcPr>
            <w:tcW w:type="dxa" w:w="1078"/>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54.122</w:t>
            </w:r>
          </w:p>
        </w:tc>
      </w:tr>
      <w:tr>
        <w:tblPrEx>
          <w:shd w:val="clear" w:color="auto" w:fill="ced7e7"/>
        </w:tblPrEx>
        <w:trPr>
          <w:trHeight w:val="580" w:hRule="atLeast"/>
        </w:trPr>
        <w:tc>
          <w:tcPr>
            <w:tcW w:type="dxa" w:w="1898"/>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pPr>
            <w:r>
              <w:rPr>
                <w:b w:val="1"/>
                <w:bCs w:val="1"/>
                <w:sz w:val="24"/>
                <w:szCs w:val="24"/>
                <w:rtl w:val="0"/>
                <w:lang w:val="it-IT"/>
              </w:rPr>
              <w:t>Portogallo</w:t>
            </w:r>
          </w:p>
        </w:tc>
        <w:tc>
          <w:tcPr>
            <w:tcW w:type="dxa" w:w="85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27.209</w:t>
            </w:r>
          </w:p>
        </w:tc>
        <w:tc>
          <w:tcPr>
            <w:tcW w:type="dxa" w:w="877"/>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32.692</w:t>
            </w:r>
          </w:p>
        </w:tc>
        <w:tc>
          <w:tcPr>
            <w:tcW w:type="dxa" w:w="1077"/>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51.467</w:t>
            </w:r>
          </w:p>
        </w:tc>
        <w:tc>
          <w:tcPr>
            <w:tcW w:type="dxa" w:w="85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27.209</w:t>
            </w:r>
          </w:p>
        </w:tc>
        <w:tc>
          <w:tcPr>
            <w:tcW w:type="dxa" w:w="878"/>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32.614</w:t>
            </w:r>
          </w:p>
        </w:tc>
        <w:tc>
          <w:tcPr>
            <w:tcW w:type="dxa" w:w="1078"/>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51.467</w:t>
            </w:r>
          </w:p>
        </w:tc>
        <w:tc>
          <w:tcPr>
            <w:tcW w:type="dxa" w:w="849"/>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27.209</w:t>
            </w:r>
          </w:p>
        </w:tc>
        <w:tc>
          <w:tcPr>
            <w:tcW w:type="dxa" w:w="878"/>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32.614</w:t>
            </w:r>
          </w:p>
        </w:tc>
        <w:tc>
          <w:tcPr>
            <w:tcW w:type="dxa" w:w="1078"/>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51.467</w:t>
            </w:r>
          </w:p>
        </w:tc>
      </w:tr>
      <w:tr>
        <w:tblPrEx>
          <w:shd w:val="clear" w:color="auto" w:fill="ced7e7"/>
        </w:tblPrEx>
        <w:trPr>
          <w:trHeight w:val="580" w:hRule="atLeast"/>
        </w:trPr>
        <w:tc>
          <w:tcPr>
            <w:tcW w:type="dxa" w:w="1898"/>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pPr>
            <w:r>
              <w:rPr>
                <w:b w:val="1"/>
                <w:bCs w:val="1"/>
                <w:sz w:val="24"/>
                <w:szCs w:val="24"/>
                <w:rtl w:val="0"/>
                <w:lang w:val="it-IT"/>
              </w:rPr>
              <w:t>Spagna</w:t>
            </w:r>
          </w:p>
        </w:tc>
        <w:tc>
          <w:tcPr>
            <w:tcW w:type="dxa" w:w="85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31.347</w:t>
            </w:r>
          </w:p>
        </w:tc>
        <w:tc>
          <w:tcPr>
            <w:tcW w:type="dxa" w:w="877"/>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36.180</w:t>
            </w:r>
          </w:p>
        </w:tc>
        <w:tc>
          <w:tcPr>
            <w:tcW w:type="dxa" w:w="1077"/>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44.211</w:t>
            </w:r>
          </w:p>
        </w:tc>
        <w:tc>
          <w:tcPr>
            <w:tcW w:type="dxa" w:w="85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35.009</w:t>
            </w:r>
          </w:p>
        </w:tc>
        <w:tc>
          <w:tcPr>
            <w:tcW w:type="dxa" w:w="878"/>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40.288</w:t>
            </w:r>
          </w:p>
        </w:tc>
        <w:tc>
          <w:tcPr>
            <w:tcW w:type="dxa" w:w="1078"/>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49.312</w:t>
            </w:r>
          </w:p>
        </w:tc>
        <w:tc>
          <w:tcPr>
            <w:tcW w:type="dxa" w:w="849"/>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35.009</w:t>
            </w:r>
          </w:p>
        </w:tc>
        <w:tc>
          <w:tcPr>
            <w:tcW w:type="dxa" w:w="878"/>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40.288</w:t>
            </w:r>
          </w:p>
        </w:tc>
        <w:tc>
          <w:tcPr>
            <w:tcW w:type="dxa" w:w="1078"/>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49.312</w:t>
            </w:r>
          </w:p>
        </w:tc>
      </w:tr>
      <w:tr>
        <w:tblPrEx>
          <w:shd w:val="clear" w:color="auto" w:fill="ced7e7"/>
        </w:tblPrEx>
        <w:trPr>
          <w:trHeight w:val="580" w:hRule="atLeast"/>
        </w:trPr>
        <w:tc>
          <w:tcPr>
            <w:tcW w:type="dxa" w:w="1898"/>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pPr>
            <w:r>
              <w:rPr>
                <w:b w:val="1"/>
                <w:bCs w:val="1"/>
                <w:sz w:val="24"/>
                <w:szCs w:val="24"/>
                <w:rtl w:val="0"/>
                <w:lang w:val="it-IT"/>
              </w:rPr>
              <w:t>Danimarca</w:t>
            </w:r>
          </w:p>
        </w:tc>
        <w:tc>
          <w:tcPr>
            <w:tcW w:type="dxa" w:w="85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39.153</w:t>
            </w:r>
          </w:p>
        </w:tc>
        <w:tc>
          <w:tcPr>
            <w:tcW w:type="dxa" w:w="877"/>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45.998</w:t>
            </w:r>
          </w:p>
        </w:tc>
        <w:tc>
          <w:tcPr>
            <w:tcW w:type="dxa" w:w="1077"/>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45.888</w:t>
            </w:r>
          </w:p>
        </w:tc>
        <w:tc>
          <w:tcPr>
            <w:tcW w:type="dxa" w:w="85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39.388</w:t>
            </w:r>
          </w:p>
        </w:tc>
        <w:tc>
          <w:tcPr>
            <w:tcW w:type="dxa" w:w="878"/>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46.675</w:t>
            </w:r>
          </w:p>
        </w:tc>
        <w:tc>
          <w:tcPr>
            <w:tcW w:type="dxa" w:w="1078"/>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46.675</w:t>
            </w:r>
          </w:p>
        </w:tc>
        <w:tc>
          <w:tcPr>
            <w:tcW w:type="dxa" w:w="849"/>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39.103</w:t>
            </w:r>
          </w:p>
        </w:tc>
        <w:tc>
          <w:tcPr>
            <w:tcW w:type="dxa" w:w="878"/>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50.807</w:t>
            </w:r>
          </w:p>
        </w:tc>
        <w:tc>
          <w:tcPr>
            <w:tcW w:type="dxa" w:w="1078"/>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50.807</w:t>
            </w:r>
          </w:p>
        </w:tc>
      </w:tr>
      <w:tr>
        <w:tblPrEx>
          <w:shd w:val="clear" w:color="auto" w:fill="ced7e7"/>
        </w:tblPrEx>
        <w:trPr>
          <w:trHeight w:val="580" w:hRule="atLeast"/>
        </w:trPr>
        <w:tc>
          <w:tcPr>
            <w:tcW w:type="dxa" w:w="1898"/>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pPr>
            <w:r>
              <w:rPr>
                <w:b w:val="1"/>
                <w:bCs w:val="1"/>
                <w:sz w:val="24"/>
                <w:szCs w:val="24"/>
                <w:rtl w:val="0"/>
                <w:lang w:val="it-IT"/>
              </w:rPr>
              <w:t>Francia</w:t>
            </w:r>
          </w:p>
        </w:tc>
        <w:tc>
          <w:tcPr>
            <w:tcW w:type="dxa" w:w="85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23.776</w:t>
            </w:r>
          </w:p>
        </w:tc>
        <w:tc>
          <w:tcPr>
            <w:tcW w:type="dxa" w:w="877"/>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29.206</w:t>
            </w:r>
          </w:p>
        </w:tc>
        <w:tc>
          <w:tcPr>
            <w:tcW w:type="dxa" w:w="1077"/>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42.779</w:t>
            </w:r>
          </w:p>
        </w:tc>
        <w:tc>
          <w:tcPr>
            <w:tcW w:type="dxa" w:w="85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26.011</w:t>
            </w:r>
          </w:p>
        </w:tc>
        <w:tc>
          <w:tcPr>
            <w:tcW w:type="dxa" w:w="878"/>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31.371</w:t>
            </w:r>
          </w:p>
        </w:tc>
        <w:tc>
          <w:tcPr>
            <w:tcW w:type="dxa" w:w="1078"/>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45.161</w:t>
            </w:r>
          </w:p>
        </w:tc>
        <w:tc>
          <w:tcPr>
            <w:tcW w:type="dxa" w:w="849"/>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26.254</w:t>
            </w:r>
          </w:p>
        </w:tc>
        <w:tc>
          <w:tcPr>
            <w:tcW w:type="dxa" w:w="878"/>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31.615</w:t>
            </w:r>
          </w:p>
        </w:tc>
        <w:tc>
          <w:tcPr>
            <w:tcW w:type="dxa" w:w="1078"/>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45.428</w:t>
            </w:r>
          </w:p>
        </w:tc>
      </w:tr>
      <w:tr>
        <w:tblPrEx>
          <w:shd w:val="clear" w:color="auto" w:fill="ced7e7"/>
        </w:tblPrEx>
        <w:trPr>
          <w:trHeight w:val="580" w:hRule="atLeast"/>
        </w:trPr>
        <w:tc>
          <w:tcPr>
            <w:tcW w:type="dxa" w:w="1898"/>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pPr>
            <w:r>
              <w:rPr>
                <w:b w:val="1"/>
                <w:bCs w:val="1"/>
                <w:sz w:val="24"/>
                <w:szCs w:val="24"/>
                <w:rtl w:val="0"/>
                <w:lang w:val="it-IT"/>
              </w:rPr>
              <w:t>Svezia</w:t>
            </w:r>
          </w:p>
        </w:tc>
        <w:tc>
          <w:tcPr>
            <w:tcW w:type="dxa" w:w="85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29.651</w:t>
            </w:r>
          </w:p>
        </w:tc>
        <w:tc>
          <w:tcPr>
            <w:tcW w:type="dxa" w:w="877"/>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34.154</w:t>
            </w:r>
          </w:p>
        </w:tc>
        <w:tc>
          <w:tcPr>
            <w:tcW w:type="dxa" w:w="1077"/>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39.743</w:t>
            </w:r>
          </w:p>
        </w:tc>
        <w:tc>
          <w:tcPr>
            <w:tcW w:type="dxa" w:w="85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29.651</w:t>
            </w:r>
          </w:p>
        </w:tc>
        <w:tc>
          <w:tcPr>
            <w:tcW w:type="dxa" w:w="878"/>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34.774</w:t>
            </w:r>
          </w:p>
        </w:tc>
        <w:tc>
          <w:tcPr>
            <w:tcW w:type="dxa" w:w="1078"/>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40.972</w:t>
            </w:r>
          </w:p>
        </w:tc>
        <w:tc>
          <w:tcPr>
            <w:tcW w:type="dxa" w:w="849"/>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30.729</w:t>
            </w:r>
          </w:p>
        </w:tc>
        <w:tc>
          <w:tcPr>
            <w:tcW w:type="dxa" w:w="878"/>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36.066</w:t>
            </w:r>
          </w:p>
        </w:tc>
        <w:tc>
          <w:tcPr>
            <w:tcW w:type="dxa" w:w="1078"/>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42.528</w:t>
            </w:r>
          </w:p>
        </w:tc>
      </w:tr>
      <w:tr>
        <w:tblPrEx>
          <w:shd w:val="clear" w:color="auto" w:fill="ced7e7"/>
        </w:tblPrEx>
        <w:trPr>
          <w:trHeight w:val="580" w:hRule="atLeast"/>
        </w:trPr>
        <w:tc>
          <w:tcPr>
            <w:tcW w:type="dxa" w:w="1898"/>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pPr>
            <w:r>
              <w:rPr>
                <w:b w:val="1"/>
                <w:bCs w:val="1"/>
                <w:sz w:val="24"/>
                <w:szCs w:val="24"/>
                <w:rtl w:val="0"/>
                <w:lang w:val="it-IT"/>
              </w:rPr>
              <w:t>Slovenia</w:t>
            </w:r>
          </w:p>
        </w:tc>
        <w:tc>
          <w:tcPr>
            <w:tcW w:type="dxa" w:w="85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21.430</w:t>
            </w:r>
          </w:p>
        </w:tc>
        <w:tc>
          <w:tcPr>
            <w:tcW w:type="dxa" w:w="877"/>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32.546</w:t>
            </w:r>
          </w:p>
        </w:tc>
        <w:tc>
          <w:tcPr>
            <w:tcW w:type="dxa" w:w="1077"/>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38.864</w:t>
            </w:r>
          </w:p>
        </w:tc>
        <w:tc>
          <w:tcPr>
            <w:tcW w:type="dxa" w:w="85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21.430</w:t>
            </w:r>
          </w:p>
        </w:tc>
        <w:tc>
          <w:tcPr>
            <w:tcW w:type="dxa" w:w="878"/>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32.468</w:t>
            </w:r>
          </w:p>
        </w:tc>
        <w:tc>
          <w:tcPr>
            <w:tcW w:type="dxa" w:w="1078"/>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38.864</w:t>
            </w:r>
          </w:p>
        </w:tc>
        <w:tc>
          <w:tcPr>
            <w:tcW w:type="dxa" w:w="849"/>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21.430</w:t>
            </w:r>
          </w:p>
        </w:tc>
        <w:tc>
          <w:tcPr>
            <w:tcW w:type="dxa" w:w="878"/>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32.468</w:t>
            </w:r>
          </w:p>
        </w:tc>
        <w:tc>
          <w:tcPr>
            <w:tcW w:type="dxa" w:w="1078"/>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38.864</w:t>
            </w:r>
          </w:p>
        </w:tc>
      </w:tr>
      <w:tr>
        <w:tblPrEx>
          <w:shd w:val="clear" w:color="auto" w:fill="ced7e7"/>
        </w:tblPrEx>
        <w:trPr>
          <w:trHeight w:val="580" w:hRule="atLeast"/>
        </w:trPr>
        <w:tc>
          <w:tcPr>
            <w:tcW w:type="dxa" w:w="1898"/>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pPr>
            <w:r>
              <w:rPr>
                <w:b w:val="1"/>
                <w:bCs w:val="1"/>
                <w:sz w:val="24"/>
                <w:szCs w:val="24"/>
                <w:rtl w:val="0"/>
                <w:lang w:val="it-IT"/>
              </w:rPr>
              <w:t>Finlandia</w:t>
            </w:r>
          </w:p>
        </w:tc>
        <w:tc>
          <w:tcPr>
            <w:tcW w:type="dxa" w:w="85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27.534</w:t>
            </w:r>
          </w:p>
        </w:tc>
        <w:tc>
          <w:tcPr>
            <w:tcW w:type="dxa" w:w="877"/>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33.864</w:t>
            </w:r>
          </w:p>
        </w:tc>
        <w:tc>
          <w:tcPr>
            <w:tcW w:type="dxa" w:w="1077"/>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35.810</w:t>
            </w:r>
          </w:p>
        </w:tc>
        <w:tc>
          <w:tcPr>
            <w:tcW w:type="dxa" w:w="85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29.736</w:t>
            </w:r>
          </w:p>
        </w:tc>
        <w:tc>
          <w:tcPr>
            <w:tcW w:type="dxa" w:w="878"/>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36.486</w:t>
            </w:r>
          </w:p>
        </w:tc>
        <w:tc>
          <w:tcPr>
            <w:tcW w:type="dxa" w:w="1078"/>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38.674</w:t>
            </w:r>
          </w:p>
        </w:tc>
        <w:tc>
          <w:tcPr>
            <w:tcW w:type="dxa" w:w="849"/>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31.533</w:t>
            </w:r>
          </w:p>
        </w:tc>
        <w:tc>
          <w:tcPr>
            <w:tcW w:type="dxa" w:w="878"/>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39.385</w:t>
            </w:r>
          </w:p>
        </w:tc>
        <w:tc>
          <w:tcPr>
            <w:tcW w:type="dxa" w:w="1078"/>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41.748</w:t>
            </w:r>
          </w:p>
        </w:tc>
      </w:tr>
      <w:tr>
        <w:tblPrEx>
          <w:shd w:val="clear" w:color="auto" w:fill="ced7e7"/>
        </w:tblPrEx>
        <w:trPr>
          <w:trHeight w:val="580" w:hRule="atLeast"/>
        </w:trPr>
        <w:tc>
          <w:tcPr>
            <w:tcW w:type="dxa" w:w="1898"/>
            <w:tcBorders>
              <w:top w:val="nil"/>
              <w:left w:val="nil"/>
              <w:bottom w:val="nil"/>
              <w:right w:val="single" w:color="000000" w:sz="8" w:space="0" w:shadow="0" w:frame="0"/>
            </w:tcBorders>
            <w:shd w:val="clear" w:color="auto" w:fill="ffff00"/>
            <w:tcMar>
              <w:top w:type="dxa" w:w="80"/>
              <w:left w:type="dxa" w:w="80"/>
              <w:bottom w:type="dxa" w:w="80"/>
              <w:right w:type="dxa" w:w="80"/>
            </w:tcMar>
            <w:vAlign w:val="bottom"/>
          </w:tcPr>
          <w:p>
            <w:pPr>
              <w:pStyle w:val="Normale"/>
              <w:spacing w:after="0" w:line="240" w:lineRule="auto"/>
            </w:pPr>
            <w:r>
              <w:rPr>
                <w:b w:val="1"/>
                <w:bCs w:val="1"/>
                <w:sz w:val="24"/>
                <w:szCs w:val="24"/>
                <w:rtl w:val="0"/>
                <w:lang w:val="it-IT"/>
              </w:rPr>
              <w:t>Italia</w:t>
            </w:r>
          </w:p>
        </w:tc>
        <w:tc>
          <w:tcPr>
            <w:tcW w:type="dxa" w:w="850"/>
            <w:tcBorders>
              <w:top w:val="nil"/>
              <w:left w:val="single" w:color="000000" w:sz="8" w:space="0" w:shadow="0" w:frame="0"/>
              <w:bottom w:val="nil"/>
              <w:right w:val="nil"/>
            </w:tcBorders>
            <w:shd w:val="clear" w:color="auto" w:fill="ffff00"/>
            <w:tcMar>
              <w:top w:type="dxa" w:w="80"/>
              <w:left w:type="dxa" w:w="80"/>
              <w:bottom w:type="dxa" w:w="80"/>
              <w:right w:type="dxa" w:w="80"/>
            </w:tcMar>
            <w:vAlign w:val="bottom"/>
          </w:tcPr>
          <w:p>
            <w:pPr>
              <w:pStyle w:val="Normale"/>
              <w:spacing w:after="0" w:line="240" w:lineRule="auto"/>
              <w:jc w:val="right"/>
            </w:pPr>
            <w:r>
              <w:rPr>
                <w:sz w:val="24"/>
                <w:szCs w:val="24"/>
                <w:rtl w:val="0"/>
                <w:lang w:val="it-IT"/>
              </w:rPr>
              <w:t>23.290</w:t>
            </w:r>
          </w:p>
        </w:tc>
        <w:tc>
          <w:tcPr>
            <w:tcW w:type="dxa" w:w="877"/>
            <w:tcBorders>
              <w:top w:val="nil"/>
              <w:left w:val="nil"/>
              <w:bottom w:val="nil"/>
              <w:right w:val="nil"/>
            </w:tcBorders>
            <w:shd w:val="clear" w:color="auto" w:fill="ffff00"/>
            <w:tcMar>
              <w:top w:type="dxa" w:w="80"/>
              <w:left w:type="dxa" w:w="80"/>
              <w:bottom w:type="dxa" w:w="80"/>
              <w:right w:type="dxa" w:w="80"/>
            </w:tcMar>
            <w:vAlign w:val="bottom"/>
          </w:tcPr>
          <w:p>
            <w:pPr>
              <w:pStyle w:val="Normale"/>
              <w:spacing w:after="0" w:line="240" w:lineRule="auto"/>
              <w:jc w:val="right"/>
            </w:pPr>
            <w:r>
              <w:rPr>
                <w:sz w:val="24"/>
                <w:szCs w:val="24"/>
                <w:rtl w:val="0"/>
                <w:lang w:val="it-IT"/>
              </w:rPr>
              <w:t>28.201</w:t>
            </w:r>
          </w:p>
        </w:tc>
        <w:tc>
          <w:tcPr>
            <w:tcW w:type="dxa" w:w="1077"/>
            <w:tcBorders>
              <w:top w:val="nil"/>
              <w:left w:val="nil"/>
              <w:bottom w:val="nil"/>
              <w:right w:val="single" w:color="000000" w:sz="8" w:space="0" w:shadow="0" w:frame="0"/>
            </w:tcBorders>
            <w:shd w:val="clear" w:color="auto" w:fill="ffff00"/>
            <w:tcMar>
              <w:top w:type="dxa" w:w="80"/>
              <w:left w:type="dxa" w:w="80"/>
              <w:bottom w:type="dxa" w:w="80"/>
              <w:right w:type="dxa" w:w="80"/>
            </w:tcMar>
            <w:vAlign w:val="bottom"/>
          </w:tcPr>
          <w:p>
            <w:pPr>
              <w:pStyle w:val="Normale"/>
              <w:spacing w:after="0" w:line="240" w:lineRule="auto"/>
              <w:jc w:val="right"/>
            </w:pPr>
            <w:r>
              <w:rPr>
                <w:sz w:val="24"/>
                <w:szCs w:val="24"/>
                <w:rtl w:val="0"/>
                <w:lang w:val="it-IT"/>
              </w:rPr>
              <w:t>34.234</w:t>
            </w:r>
          </w:p>
        </w:tc>
        <w:tc>
          <w:tcPr>
            <w:tcW w:type="dxa" w:w="850"/>
            <w:tcBorders>
              <w:top w:val="nil"/>
              <w:left w:val="single" w:color="000000" w:sz="8" w:space="0" w:shadow="0" w:frame="0"/>
              <w:bottom w:val="nil"/>
              <w:right w:val="nil"/>
            </w:tcBorders>
            <w:shd w:val="clear" w:color="auto" w:fill="ffff00"/>
            <w:tcMar>
              <w:top w:type="dxa" w:w="80"/>
              <w:left w:type="dxa" w:w="80"/>
              <w:bottom w:type="dxa" w:w="80"/>
              <w:right w:type="dxa" w:w="80"/>
            </w:tcMar>
            <w:vAlign w:val="bottom"/>
          </w:tcPr>
          <w:p>
            <w:pPr>
              <w:pStyle w:val="Normale"/>
              <w:spacing w:after="0" w:line="240" w:lineRule="auto"/>
              <w:jc w:val="right"/>
            </w:pPr>
            <w:r>
              <w:rPr>
                <w:sz w:val="24"/>
                <w:szCs w:val="24"/>
                <w:rtl w:val="0"/>
                <w:lang w:val="it-IT"/>
              </w:rPr>
              <w:t>25.107</w:t>
            </w:r>
          </w:p>
        </w:tc>
        <w:tc>
          <w:tcPr>
            <w:tcW w:type="dxa" w:w="878"/>
            <w:tcBorders>
              <w:top w:val="nil"/>
              <w:left w:val="nil"/>
              <w:bottom w:val="nil"/>
              <w:right w:val="nil"/>
            </w:tcBorders>
            <w:shd w:val="clear" w:color="auto" w:fill="ffff00"/>
            <w:tcMar>
              <w:top w:type="dxa" w:w="80"/>
              <w:left w:type="dxa" w:w="80"/>
              <w:bottom w:type="dxa" w:w="80"/>
              <w:right w:type="dxa" w:w="80"/>
            </w:tcMar>
            <w:vAlign w:val="bottom"/>
          </w:tcPr>
          <w:p>
            <w:pPr>
              <w:pStyle w:val="Normale"/>
              <w:spacing w:after="0" w:line="240" w:lineRule="auto"/>
              <w:jc w:val="right"/>
            </w:pPr>
            <w:r>
              <w:rPr>
                <w:sz w:val="24"/>
                <w:szCs w:val="24"/>
                <w:rtl w:val="0"/>
                <w:lang w:val="it-IT"/>
              </w:rPr>
              <w:t>30.654</w:t>
            </w:r>
          </w:p>
        </w:tc>
        <w:tc>
          <w:tcPr>
            <w:tcW w:type="dxa" w:w="1078"/>
            <w:tcBorders>
              <w:top w:val="nil"/>
              <w:left w:val="nil"/>
              <w:bottom w:val="nil"/>
              <w:right w:val="single" w:color="000000" w:sz="8" w:space="0" w:shadow="0" w:frame="0"/>
            </w:tcBorders>
            <w:shd w:val="clear" w:color="auto" w:fill="ffff00"/>
            <w:tcMar>
              <w:top w:type="dxa" w:w="80"/>
              <w:left w:type="dxa" w:w="80"/>
              <w:bottom w:type="dxa" w:w="80"/>
              <w:right w:type="dxa" w:w="80"/>
            </w:tcMar>
            <w:vAlign w:val="bottom"/>
          </w:tcPr>
          <w:p>
            <w:pPr>
              <w:pStyle w:val="Normale"/>
              <w:spacing w:after="0" w:line="240" w:lineRule="auto"/>
              <w:jc w:val="right"/>
            </w:pPr>
            <w:r>
              <w:rPr>
                <w:sz w:val="24"/>
                <w:szCs w:val="24"/>
                <w:rtl w:val="0"/>
                <w:lang w:val="it-IT"/>
              </w:rPr>
              <w:t>37.597</w:t>
            </w:r>
          </w:p>
        </w:tc>
        <w:tc>
          <w:tcPr>
            <w:tcW w:type="dxa" w:w="849"/>
            <w:tcBorders>
              <w:top w:val="nil"/>
              <w:left w:val="single" w:color="000000" w:sz="8" w:space="0" w:shadow="0" w:frame="0"/>
              <w:bottom w:val="nil"/>
              <w:right w:val="nil"/>
            </w:tcBorders>
            <w:shd w:val="clear" w:color="auto" w:fill="ffff00"/>
            <w:tcMar>
              <w:top w:type="dxa" w:w="80"/>
              <w:left w:type="dxa" w:w="80"/>
              <w:bottom w:type="dxa" w:w="80"/>
              <w:right w:type="dxa" w:w="80"/>
            </w:tcMar>
            <w:vAlign w:val="bottom"/>
          </w:tcPr>
          <w:p>
            <w:pPr>
              <w:pStyle w:val="Normale"/>
              <w:spacing w:after="0" w:line="240" w:lineRule="auto"/>
              <w:jc w:val="right"/>
            </w:pPr>
            <w:r>
              <w:rPr>
                <w:sz w:val="24"/>
                <w:szCs w:val="24"/>
                <w:rtl w:val="0"/>
                <w:lang w:val="it-IT"/>
              </w:rPr>
              <w:t>25.107</w:t>
            </w:r>
          </w:p>
        </w:tc>
        <w:tc>
          <w:tcPr>
            <w:tcW w:type="dxa" w:w="878"/>
            <w:tcBorders>
              <w:top w:val="nil"/>
              <w:left w:val="nil"/>
              <w:bottom w:val="nil"/>
              <w:right w:val="nil"/>
            </w:tcBorders>
            <w:shd w:val="clear" w:color="auto" w:fill="ffff00"/>
            <w:tcMar>
              <w:top w:type="dxa" w:w="80"/>
              <w:left w:type="dxa" w:w="80"/>
              <w:bottom w:type="dxa" w:w="80"/>
              <w:right w:type="dxa" w:w="80"/>
            </w:tcMar>
            <w:vAlign w:val="bottom"/>
          </w:tcPr>
          <w:p>
            <w:pPr>
              <w:pStyle w:val="Normale"/>
              <w:spacing w:after="0" w:line="240" w:lineRule="auto"/>
              <w:jc w:val="right"/>
            </w:pPr>
            <w:r>
              <w:rPr>
                <w:sz w:val="24"/>
                <w:szCs w:val="24"/>
                <w:rtl w:val="0"/>
                <w:lang w:val="it-IT"/>
              </w:rPr>
              <w:t>31.512</w:t>
            </w:r>
          </w:p>
        </w:tc>
        <w:tc>
          <w:tcPr>
            <w:tcW w:type="dxa" w:w="1078"/>
            <w:tcBorders>
              <w:top w:val="nil"/>
              <w:left w:val="nil"/>
              <w:bottom w:val="nil"/>
              <w:right w:val="single" w:color="000000" w:sz="8" w:space="0" w:shadow="0" w:frame="0"/>
            </w:tcBorders>
            <w:shd w:val="clear" w:color="auto" w:fill="ffff00"/>
            <w:tcMar>
              <w:top w:type="dxa" w:w="80"/>
              <w:left w:type="dxa" w:w="80"/>
              <w:bottom w:type="dxa" w:w="80"/>
              <w:right w:type="dxa" w:w="80"/>
            </w:tcMar>
            <w:vAlign w:val="bottom"/>
          </w:tcPr>
          <w:p>
            <w:pPr>
              <w:pStyle w:val="Normale"/>
              <w:spacing w:after="0" w:line="240" w:lineRule="auto"/>
              <w:jc w:val="right"/>
            </w:pPr>
            <w:r>
              <w:rPr>
                <w:sz w:val="24"/>
                <w:szCs w:val="24"/>
                <w:rtl w:val="0"/>
                <w:lang w:val="it-IT"/>
              </w:rPr>
              <w:t>39.304</w:t>
            </w:r>
          </w:p>
        </w:tc>
      </w:tr>
      <w:tr>
        <w:tblPrEx>
          <w:shd w:val="clear" w:color="auto" w:fill="ced7e7"/>
        </w:tblPrEx>
        <w:trPr>
          <w:trHeight w:val="580" w:hRule="atLeast"/>
        </w:trPr>
        <w:tc>
          <w:tcPr>
            <w:tcW w:type="dxa" w:w="1898"/>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pPr>
            <w:r>
              <w:rPr>
                <w:b w:val="1"/>
                <w:bCs w:val="1"/>
                <w:sz w:val="24"/>
                <w:szCs w:val="24"/>
                <w:rtl w:val="0"/>
                <w:lang w:val="it-IT"/>
              </w:rPr>
              <w:t>Grecia</w:t>
            </w:r>
          </w:p>
        </w:tc>
        <w:tc>
          <w:tcPr>
            <w:tcW w:type="dxa" w:w="85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15.569</w:t>
            </w:r>
          </w:p>
        </w:tc>
        <w:tc>
          <w:tcPr>
            <w:tcW w:type="dxa" w:w="877"/>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20.952</w:t>
            </w:r>
          </w:p>
        </w:tc>
        <w:tc>
          <w:tcPr>
            <w:tcW w:type="dxa" w:w="1077"/>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29.413</w:t>
            </w:r>
          </w:p>
        </w:tc>
        <w:tc>
          <w:tcPr>
            <w:tcW w:type="dxa" w:w="85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15.569</w:t>
            </w:r>
          </w:p>
        </w:tc>
        <w:tc>
          <w:tcPr>
            <w:tcW w:type="dxa" w:w="878"/>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20.902</w:t>
            </w:r>
          </w:p>
        </w:tc>
        <w:tc>
          <w:tcPr>
            <w:tcW w:type="dxa" w:w="1078"/>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29.413</w:t>
            </w:r>
          </w:p>
        </w:tc>
        <w:tc>
          <w:tcPr>
            <w:tcW w:type="dxa" w:w="849"/>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15.569</w:t>
            </w:r>
          </w:p>
        </w:tc>
        <w:tc>
          <w:tcPr>
            <w:tcW w:type="dxa" w:w="878"/>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20.902</w:t>
            </w:r>
          </w:p>
        </w:tc>
        <w:tc>
          <w:tcPr>
            <w:tcW w:type="dxa" w:w="1078"/>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29.413</w:t>
            </w:r>
          </w:p>
        </w:tc>
      </w:tr>
      <w:tr>
        <w:tblPrEx>
          <w:shd w:val="clear" w:color="auto" w:fill="ced7e7"/>
        </w:tblPrEx>
        <w:trPr>
          <w:trHeight w:val="580" w:hRule="atLeast"/>
        </w:trPr>
        <w:tc>
          <w:tcPr>
            <w:tcW w:type="dxa" w:w="1898"/>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pPr>
            <w:r>
              <w:rPr>
                <w:b w:val="1"/>
                <w:bCs w:val="1"/>
                <w:sz w:val="24"/>
                <w:szCs w:val="24"/>
                <w:rtl w:val="0"/>
                <w:lang w:val="it-IT"/>
              </w:rPr>
              <w:t>Polonia</w:t>
            </w:r>
          </w:p>
        </w:tc>
        <w:tc>
          <w:tcPr>
            <w:tcW w:type="dxa" w:w="85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12.893</w:t>
            </w:r>
          </w:p>
        </w:tc>
        <w:tc>
          <w:tcPr>
            <w:tcW w:type="dxa" w:w="877"/>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21.201</w:t>
            </w:r>
          </w:p>
        </w:tc>
        <w:tc>
          <w:tcPr>
            <w:tcW w:type="dxa" w:w="1077"/>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22.049</w:t>
            </w:r>
          </w:p>
        </w:tc>
        <w:tc>
          <w:tcPr>
            <w:tcW w:type="dxa" w:w="85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12.893</w:t>
            </w:r>
          </w:p>
        </w:tc>
        <w:tc>
          <w:tcPr>
            <w:tcW w:type="dxa" w:w="878"/>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21.150</w:t>
            </w:r>
          </w:p>
        </w:tc>
        <w:tc>
          <w:tcPr>
            <w:tcW w:type="dxa" w:w="1078"/>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22.049</w:t>
            </w:r>
          </w:p>
        </w:tc>
        <w:tc>
          <w:tcPr>
            <w:tcW w:type="dxa" w:w="849"/>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12.893</w:t>
            </w:r>
          </w:p>
        </w:tc>
        <w:tc>
          <w:tcPr>
            <w:tcW w:type="dxa" w:w="878"/>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21.150</w:t>
            </w:r>
          </w:p>
        </w:tc>
        <w:tc>
          <w:tcPr>
            <w:tcW w:type="dxa" w:w="1078"/>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22.049</w:t>
            </w:r>
          </w:p>
        </w:tc>
      </w:tr>
      <w:tr>
        <w:tblPrEx>
          <w:shd w:val="clear" w:color="auto" w:fill="ced7e7"/>
        </w:tblPrEx>
        <w:trPr>
          <w:trHeight w:val="580" w:hRule="atLeast"/>
        </w:trPr>
        <w:tc>
          <w:tcPr>
            <w:tcW w:type="dxa" w:w="1898"/>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pPr>
            <w:r>
              <w:rPr>
                <w:b w:val="1"/>
                <w:bCs w:val="1"/>
                <w:sz w:val="24"/>
                <w:szCs w:val="24"/>
                <w:rtl w:val="0"/>
                <w:lang w:val="it-IT"/>
              </w:rPr>
              <w:t>Ungheria</w:t>
            </w:r>
          </w:p>
        </w:tc>
        <w:tc>
          <w:tcPr>
            <w:tcW w:type="dxa" w:w="85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11.086</w:t>
            </w:r>
          </w:p>
        </w:tc>
        <w:tc>
          <w:tcPr>
            <w:tcW w:type="dxa" w:w="877"/>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16.112</w:t>
            </w:r>
          </w:p>
        </w:tc>
        <w:tc>
          <w:tcPr>
            <w:tcW w:type="dxa" w:w="1077"/>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21.062</w:t>
            </w:r>
          </w:p>
        </w:tc>
        <w:tc>
          <w:tcPr>
            <w:tcW w:type="dxa" w:w="85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11.086</w:t>
            </w:r>
          </w:p>
        </w:tc>
        <w:tc>
          <w:tcPr>
            <w:tcW w:type="dxa" w:w="878"/>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16.073</w:t>
            </w:r>
          </w:p>
        </w:tc>
        <w:tc>
          <w:tcPr>
            <w:tcW w:type="dxa" w:w="1078"/>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21.062</w:t>
            </w:r>
          </w:p>
        </w:tc>
        <w:tc>
          <w:tcPr>
            <w:tcW w:type="dxa" w:w="849"/>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12.146</w:t>
            </w:r>
          </w:p>
        </w:tc>
        <w:tc>
          <w:tcPr>
            <w:tcW w:type="dxa" w:w="878"/>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17.612</w:t>
            </w:r>
          </w:p>
        </w:tc>
        <w:tc>
          <w:tcPr>
            <w:tcW w:type="dxa" w:w="1078"/>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23.077</w:t>
            </w:r>
          </w:p>
        </w:tc>
      </w:tr>
      <w:tr>
        <w:tblPrEx>
          <w:shd w:val="clear" w:color="auto" w:fill="ced7e7"/>
        </w:tblPrEx>
        <w:trPr>
          <w:trHeight w:val="580" w:hRule="atLeast"/>
        </w:trPr>
        <w:tc>
          <w:tcPr>
            <w:tcW w:type="dxa" w:w="1898"/>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pPr>
            <w:r>
              <w:rPr>
                <w:b w:val="1"/>
                <w:bCs w:val="1"/>
                <w:sz w:val="24"/>
                <w:szCs w:val="24"/>
                <w:rtl w:val="0"/>
                <w:lang w:val="it-IT"/>
              </w:rPr>
              <w:t>Rep. Ceca</w:t>
            </w:r>
          </w:p>
        </w:tc>
        <w:tc>
          <w:tcPr>
            <w:tcW w:type="dxa" w:w="85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14.925</w:t>
            </w:r>
          </w:p>
        </w:tc>
        <w:tc>
          <w:tcPr>
            <w:tcW w:type="dxa" w:w="877"/>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16.211</w:t>
            </w:r>
          </w:p>
        </w:tc>
        <w:tc>
          <w:tcPr>
            <w:tcW w:type="dxa" w:w="1077"/>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18.645</w:t>
            </w:r>
          </w:p>
        </w:tc>
        <w:tc>
          <w:tcPr>
            <w:tcW w:type="dxa" w:w="85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14.925</w:t>
            </w:r>
          </w:p>
        </w:tc>
        <w:tc>
          <w:tcPr>
            <w:tcW w:type="dxa" w:w="878"/>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16.172</w:t>
            </w:r>
          </w:p>
        </w:tc>
        <w:tc>
          <w:tcPr>
            <w:tcW w:type="dxa" w:w="1078"/>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18.645</w:t>
            </w:r>
          </w:p>
        </w:tc>
        <w:tc>
          <w:tcPr>
            <w:tcW w:type="dxa" w:w="849"/>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14.925</w:t>
            </w:r>
          </w:p>
        </w:tc>
        <w:tc>
          <w:tcPr>
            <w:tcW w:type="dxa" w:w="878"/>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16.172</w:t>
            </w:r>
          </w:p>
        </w:tc>
        <w:tc>
          <w:tcPr>
            <w:tcW w:type="dxa" w:w="1078"/>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18.645</w:t>
            </w:r>
          </w:p>
        </w:tc>
      </w:tr>
      <w:tr>
        <w:tblPrEx>
          <w:shd w:val="clear" w:color="auto" w:fill="ced7e7"/>
        </w:tblPrEx>
        <w:trPr>
          <w:trHeight w:val="580" w:hRule="atLeast"/>
        </w:trPr>
        <w:tc>
          <w:tcPr>
            <w:tcW w:type="dxa" w:w="1898"/>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pPr>
            <w:r>
              <w:rPr>
                <w:b w:val="1"/>
                <w:bCs w:val="1"/>
                <w:sz w:val="24"/>
                <w:szCs w:val="24"/>
                <w:rtl w:val="0"/>
                <w:lang w:val="it-IT"/>
              </w:rPr>
              <w:t>Slovacchia</w:t>
            </w:r>
          </w:p>
        </w:tc>
        <w:tc>
          <w:tcPr>
            <w:tcW w:type="dxa" w:w="85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10.620</w:t>
            </w:r>
          </w:p>
        </w:tc>
        <w:tc>
          <w:tcPr>
            <w:tcW w:type="dxa" w:w="877"/>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14.981</w:t>
            </w:r>
          </w:p>
        </w:tc>
        <w:tc>
          <w:tcPr>
            <w:tcW w:type="dxa" w:w="1077"/>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16.117</w:t>
            </w:r>
          </w:p>
        </w:tc>
        <w:tc>
          <w:tcPr>
            <w:tcW w:type="dxa" w:w="85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10.620</w:t>
            </w:r>
          </w:p>
        </w:tc>
        <w:tc>
          <w:tcPr>
            <w:tcW w:type="dxa" w:w="878"/>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14.945</w:t>
            </w:r>
          </w:p>
        </w:tc>
        <w:tc>
          <w:tcPr>
            <w:tcW w:type="dxa" w:w="1078"/>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16.117</w:t>
            </w:r>
          </w:p>
        </w:tc>
        <w:tc>
          <w:tcPr>
            <w:tcW w:type="dxa" w:w="849"/>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10.620</w:t>
            </w:r>
          </w:p>
        </w:tc>
        <w:tc>
          <w:tcPr>
            <w:tcW w:type="dxa" w:w="878"/>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14.945</w:t>
            </w:r>
          </w:p>
        </w:tc>
        <w:tc>
          <w:tcPr>
            <w:tcW w:type="dxa" w:w="1078"/>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16.117</w:t>
            </w:r>
          </w:p>
        </w:tc>
      </w:tr>
      <w:tr>
        <w:tblPrEx>
          <w:shd w:val="clear" w:color="auto" w:fill="ced7e7"/>
        </w:tblPrEx>
        <w:trPr>
          <w:trHeight w:val="580" w:hRule="atLeast"/>
        </w:trPr>
        <w:tc>
          <w:tcPr>
            <w:tcW w:type="dxa" w:w="1898"/>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pPr>
            <w:r>
              <w:rPr>
                <w:b w:val="1"/>
                <w:bCs w:val="1"/>
                <w:sz w:val="24"/>
                <w:szCs w:val="24"/>
                <w:rtl w:val="0"/>
                <w:lang w:val="it-IT"/>
              </w:rPr>
              <w:t>Estonia</w:t>
            </w:r>
          </w:p>
        </w:tc>
        <w:tc>
          <w:tcPr>
            <w:tcW w:type="dxa" w:w="85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14.431</w:t>
            </w:r>
          </w:p>
        </w:tc>
        <w:tc>
          <w:tcPr>
            <w:tcW w:type="dxa" w:w="877"/>
            <w:tcBorders>
              <w:top w:val="nil"/>
              <w:left w:val="nil"/>
              <w:bottom w:val="nil"/>
              <w:right w:val="nil"/>
            </w:tcBorders>
            <w:shd w:val="clear" w:color="auto" w:fill="auto"/>
            <w:tcMar>
              <w:top w:type="dxa" w:w="80"/>
              <w:left w:type="dxa" w:w="80"/>
              <w:bottom w:type="dxa" w:w="80"/>
              <w:right w:type="dxa" w:w="80"/>
            </w:tcMar>
            <w:vAlign w:val="bottom"/>
          </w:tcPr>
          <w:p/>
        </w:tc>
        <w:tc>
          <w:tcPr>
            <w:tcW w:type="dxa" w:w="1077"/>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jc w:val="center"/>
            </w:pPr>
            <w:r>
              <w:rPr>
                <w:sz w:val="24"/>
                <w:szCs w:val="24"/>
                <w:rtl w:val="0"/>
                <w:lang w:val="it-IT"/>
              </w:rPr>
              <w:t> </w:t>
            </w:r>
          </w:p>
        </w:tc>
        <w:tc>
          <w:tcPr>
            <w:tcW w:type="dxa" w:w="85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14.431</w:t>
            </w:r>
          </w:p>
        </w:tc>
        <w:tc>
          <w:tcPr>
            <w:tcW w:type="dxa" w:w="878"/>
            <w:tcBorders>
              <w:top w:val="nil"/>
              <w:left w:val="nil"/>
              <w:bottom w:val="nil"/>
              <w:right w:val="nil"/>
            </w:tcBorders>
            <w:shd w:val="clear" w:color="auto" w:fill="auto"/>
            <w:tcMar>
              <w:top w:type="dxa" w:w="80"/>
              <w:left w:type="dxa" w:w="80"/>
              <w:bottom w:type="dxa" w:w="80"/>
              <w:right w:type="dxa" w:w="80"/>
            </w:tcMar>
            <w:vAlign w:val="bottom"/>
          </w:tcPr>
          <w:p/>
        </w:tc>
        <w:tc>
          <w:tcPr>
            <w:tcW w:type="dxa" w:w="1078"/>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pPr>
            <w:r>
              <w:rPr>
                <w:sz w:val="24"/>
                <w:szCs w:val="24"/>
                <w:rtl w:val="0"/>
                <w:lang w:val="it-IT"/>
              </w:rPr>
              <w:t> </w:t>
            </w:r>
          </w:p>
        </w:tc>
        <w:tc>
          <w:tcPr>
            <w:tcW w:type="dxa" w:w="849"/>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14.431</w:t>
            </w:r>
          </w:p>
        </w:tc>
        <w:tc>
          <w:tcPr>
            <w:tcW w:type="dxa" w:w="878"/>
            <w:tcBorders>
              <w:top w:val="nil"/>
              <w:left w:val="nil"/>
              <w:bottom w:val="nil"/>
              <w:right w:val="nil"/>
            </w:tcBorders>
            <w:shd w:val="clear" w:color="auto" w:fill="auto"/>
            <w:tcMar>
              <w:top w:type="dxa" w:w="80"/>
              <w:left w:type="dxa" w:w="80"/>
              <w:bottom w:type="dxa" w:w="80"/>
              <w:right w:type="dxa" w:w="80"/>
            </w:tcMar>
            <w:vAlign w:val="bottom"/>
          </w:tcPr>
          <w:p/>
        </w:tc>
        <w:tc>
          <w:tcPr>
            <w:tcW w:type="dxa" w:w="1078"/>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pPr>
            <w:r>
              <w:rPr>
                <w:sz w:val="24"/>
                <w:szCs w:val="24"/>
                <w:rtl w:val="0"/>
                <w:lang w:val="it-IT"/>
              </w:rPr>
              <w:t> </w:t>
            </w:r>
          </w:p>
        </w:tc>
      </w:tr>
      <w:tr>
        <w:tblPrEx>
          <w:shd w:val="clear" w:color="auto" w:fill="ced7e7"/>
        </w:tblPrEx>
        <w:trPr>
          <w:trHeight w:val="300" w:hRule="atLeast"/>
        </w:trPr>
        <w:tc>
          <w:tcPr>
            <w:tcW w:type="dxa" w:w="1898"/>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pPr>
            <w:r>
              <w:rPr>
                <w:b w:val="1"/>
                <w:bCs w:val="1"/>
                <w:sz w:val="24"/>
                <w:szCs w:val="24"/>
                <w:rtl w:val="0"/>
                <w:lang w:val="it-IT"/>
              </w:rPr>
              <w:t>Lettonia</w:t>
            </w:r>
          </w:p>
        </w:tc>
        <w:tc>
          <w:tcPr>
            <w:tcW w:type="dxa" w:w="85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7.131</w:t>
            </w:r>
          </w:p>
        </w:tc>
        <w:tc>
          <w:tcPr>
            <w:tcW w:type="dxa" w:w="877"/>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7.413</w:t>
            </w:r>
          </w:p>
        </w:tc>
        <w:tc>
          <w:tcPr>
            <w:tcW w:type="dxa" w:w="1077"/>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jc w:val="center"/>
            </w:pPr>
            <w:r>
              <w:rPr>
                <w:sz w:val="24"/>
                <w:szCs w:val="24"/>
                <w:rtl w:val="0"/>
                <w:lang w:val="it-IT"/>
              </w:rPr>
              <w:t> </w:t>
            </w:r>
          </w:p>
        </w:tc>
        <w:tc>
          <w:tcPr>
            <w:tcW w:type="dxa" w:w="85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7.131</w:t>
            </w:r>
          </w:p>
        </w:tc>
        <w:tc>
          <w:tcPr>
            <w:tcW w:type="dxa" w:w="878"/>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7.395</w:t>
            </w:r>
          </w:p>
        </w:tc>
        <w:tc>
          <w:tcPr>
            <w:tcW w:type="dxa" w:w="1078"/>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pPr>
            <w:r>
              <w:rPr>
                <w:sz w:val="24"/>
                <w:szCs w:val="24"/>
                <w:rtl w:val="0"/>
                <w:lang w:val="it-IT"/>
              </w:rPr>
              <w:t> </w:t>
            </w:r>
          </w:p>
        </w:tc>
        <w:tc>
          <w:tcPr>
            <w:tcW w:type="dxa" w:w="849"/>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7.131</w:t>
            </w:r>
          </w:p>
        </w:tc>
        <w:tc>
          <w:tcPr>
            <w:tcW w:type="dxa" w:w="878"/>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sz w:val="24"/>
                <w:szCs w:val="24"/>
                <w:rtl w:val="0"/>
                <w:lang w:val="it-IT"/>
              </w:rPr>
              <w:t>7.395</w:t>
            </w:r>
          </w:p>
        </w:tc>
        <w:tc>
          <w:tcPr>
            <w:tcW w:type="dxa" w:w="1078"/>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pPr>
            <w:r>
              <w:rPr>
                <w:sz w:val="24"/>
                <w:szCs w:val="24"/>
                <w:rtl w:val="0"/>
                <w:lang w:val="it-IT"/>
              </w:rPr>
              <w:t> </w:t>
            </w:r>
          </w:p>
        </w:tc>
      </w:tr>
      <w:tr>
        <w:tblPrEx>
          <w:shd w:val="clear" w:color="auto" w:fill="ced7e7"/>
        </w:tblPrEx>
        <w:trPr>
          <w:trHeight w:val="580" w:hRule="atLeast"/>
        </w:trPr>
        <w:tc>
          <w:tcPr>
            <w:tcW w:type="dxa" w:w="1898"/>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pPr>
            <w:r>
              <w:rPr>
                <w:b w:val="1"/>
                <w:bCs w:val="1"/>
                <w:sz w:val="24"/>
                <w:szCs w:val="24"/>
                <w:rtl w:val="0"/>
                <w:lang w:val="it-IT"/>
              </w:rPr>
              <w:t>media UE/OCSE</w:t>
            </w:r>
          </w:p>
        </w:tc>
        <w:tc>
          <w:tcPr>
            <w:tcW w:type="dxa" w:w="850"/>
            <w:tcBorders>
              <w:top w:val="nil"/>
              <w:left w:val="single" w:color="000000" w:sz="8" w:space="0" w:shadow="0" w:frame="0"/>
              <w:bottom w:val="single" w:color="000000" w:sz="8" w:space="0" w:shadow="0" w:frame="0"/>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b w:val="1"/>
                <w:bCs w:val="1"/>
                <w:sz w:val="24"/>
                <w:szCs w:val="24"/>
                <w:rtl w:val="0"/>
                <w:lang w:val="it-IT"/>
              </w:rPr>
              <w:t>24.844</w:t>
            </w:r>
          </w:p>
        </w:tc>
        <w:tc>
          <w:tcPr>
            <w:tcW w:type="dxa" w:w="877"/>
            <w:tcBorders>
              <w:top w:val="nil"/>
              <w:left w:val="nil"/>
              <w:bottom w:val="single" w:color="000000" w:sz="8" w:space="0" w:shadow="0" w:frame="0"/>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b w:val="1"/>
                <w:bCs w:val="1"/>
                <w:sz w:val="24"/>
                <w:szCs w:val="24"/>
                <w:rtl w:val="0"/>
                <w:lang w:val="it-IT"/>
              </w:rPr>
              <w:t>34.150</w:t>
            </w:r>
          </w:p>
        </w:tc>
        <w:tc>
          <w:tcPr>
            <w:tcW w:type="dxa" w:w="1077"/>
            <w:tcBorders>
              <w:top w:val="nil"/>
              <w:left w:val="nil"/>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b w:val="1"/>
                <w:bCs w:val="1"/>
                <w:sz w:val="24"/>
                <w:szCs w:val="24"/>
                <w:rtl w:val="0"/>
                <w:lang w:val="it-IT"/>
              </w:rPr>
              <w:t>42.100</w:t>
            </w:r>
          </w:p>
        </w:tc>
        <w:tc>
          <w:tcPr>
            <w:tcW w:type="dxa" w:w="850"/>
            <w:tcBorders>
              <w:top w:val="nil"/>
              <w:left w:val="single" w:color="000000" w:sz="8" w:space="0" w:shadow="0" w:frame="0"/>
              <w:bottom w:val="single" w:color="000000" w:sz="8" w:space="0" w:shadow="0" w:frame="0"/>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b w:val="1"/>
                <w:bCs w:val="1"/>
                <w:sz w:val="24"/>
                <w:szCs w:val="24"/>
                <w:rtl w:val="0"/>
                <w:lang w:val="it-IT"/>
              </w:rPr>
              <w:t>26.262</w:t>
            </w:r>
          </w:p>
        </w:tc>
        <w:tc>
          <w:tcPr>
            <w:tcW w:type="dxa" w:w="878"/>
            <w:tcBorders>
              <w:top w:val="nil"/>
              <w:left w:val="nil"/>
              <w:bottom w:val="single" w:color="000000" w:sz="8" w:space="0" w:shadow="0" w:frame="0"/>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b w:val="1"/>
                <w:bCs w:val="1"/>
                <w:sz w:val="24"/>
                <w:szCs w:val="24"/>
                <w:rtl w:val="0"/>
                <w:lang w:val="it-IT"/>
              </w:rPr>
              <w:t>36.025</w:t>
            </w:r>
          </w:p>
        </w:tc>
        <w:tc>
          <w:tcPr>
            <w:tcW w:type="dxa" w:w="1078"/>
            <w:tcBorders>
              <w:top w:val="nil"/>
              <w:left w:val="nil"/>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b w:val="1"/>
                <w:bCs w:val="1"/>
                <w:sz w:val="24"/>
                <w:szCs w:val="24"/>
                <w:rtl w:val="0"/>
                <w:lang w:val="it-IT"/>
              </w:rPr>
              <w:t>44.855</w:t>
            </w:r>
          </w:p>
        </w:tc>
        <w:tc>
          <w:tcPr>
            <w:tcW w:type="dxa" w:w="849"/>
            <w:tcBorders>
              <w:top w:val="nil"/>
              <w:left w:val="single" w:color="000000" w:sz="8" w:space="0" w:shadow="0" w:frame="0"/>
              <w:bottom w:val="single" w:color="000000" w:sz="8" w:space="0" w:shadow="0" w:frame="0"/>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b w:val="1"/>
                <w:bCs w:val="1"/>
                <w:sz w:val="24"/>
                <w:szCs w:val="24"/>
                <w:rtl w:val="0"/>
                <w:lang w:val="it-IT"/>
              </w:rPr>
              <w:t>26.542</w:t>
            </w:r>
          </w:p>
        </w:tc>
        <w:tc>
          <w:tcPr>
            <w:tcW w:type="dxa" w:w="878"/>
            <w:tcBorders>
              <w:top w:val="nil"/>
              <w:left w:val="nil"/>
              <w:bottom w:val="single" w:color="000000" w:sz="8" w:space="0" w:shadow="0" w:frame="0"/>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b w:val="1"/>
                <w:bCs w:val="1"/>
                <w:sz w:val="24"/>
                <w:szCs w:val="24"/>
                <w:rtl w:val="0"/>
                <w:lang w:val="it-IT"/>
              </w:rPr>
              <w:t>36.962</w:t>
            </w:r>
          </w:p>
        </w:tc>
        <w:tc>
          <w:tcPr>
            <w:tcW w:type="dxa" w:w="1078"/>
            <w:tcBorders>
              <w:top w:val="nil"/>
              <w:left w:val="nil"/>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jc w:val="right"/>
            </w:pPr>
            <w:r>
              <w:rPr>
                <w:b w:val="1"/>
                <w:bCs w:val="1"/>
                <w:sz w:val="24"/>
                <w:szCs w:val="24"/>
                <w:rtl w:val="0"/>
                <w:lang w:val="it-IT"/>
              </w:rPr>
              <w:t>46.301</w:t>
            </w:r>
          </w:p>
        </w:tc>
      </w:tr>
      <w:tr>
        <w:tblPrEx>
          <w:shd w:val="clear" w:color="auto" w:fill="ced7e7"/>
        </w:tblPrEx>
        <w:trPr>
          <w:trHeight w:val="300" w:hRule="atLeast"/>
        </w:trPr>
        <w:tc>
          <w:tcPr>
            <w:tcW w:type="dxa" w:w="10316"/>
            <w:gridSpan w:val="10"/>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center"/>
            </w:pPr>
            <w:r>
              <w:rPr>
                <w:b w:val="1"/>
                <w:bCs w:val="1"/>
                <w:color w:val="0070c0"/>
                <w:sz w:val="24"/>
                <w:szCs w:val="24"/>
                <w:u w:color="0070c0"/>
                <w:rtl w:val="0"/>
                <w:lang w:val="it-IT"/>
              </w:rPr>
              <w:t>(elaborazione UIL Scuola su dati OCSE: Regards sur l'</w:t>
            </w:r>
            <w:r>
              <w:rPr>
                <w:b w:val="1"/>
                <w:bCs w:val="1"/>
                <w:color w:val="0070c0"/>
                <w:sz w:val="24"/>
                <w:szCs w:val="24"/>
                <w:u w:color="0070c0"/>
                <w:rtl w:val="0"/>
                <w:lang w:val="it-IT"/>
              </w:rPr>
              <w:t>é</w:t>
            </w:r>
            <w:r>
              <w:rPr>
                <w:b w:val="1"/>
                <w:bCs w:val="1"/>
                <w:color w:val="0070c0"/>
                <w:sz w:val="24"/>
                <w:szCs w:val="24"/>
                <w:u w:color="0070c0"/>
                <w:rtl w:val="0"/>
                <w:lang w:val="it-IT"/>
              </w:rPr>
              <w:t>ducation 2017)</w:t>
            </w:r>
          </w:p>
        </w:tc>
      </w:tr>
    </w:tbl>
    <w:p>
      <w:pPr>
        <w:pStyle w:val="Normale"/>
        <w:widowControl w:val="0"/>
        <w:spacing w:after="0" w:line="240" w:lineRule="auto"/>
        <w:ind w:left="70" w:hanging="70"/>
        <w:jc w:val="center"/>
      </w:pPr>
    </w:p>
    <w:p>
      <w:pPr>
        <w:pStyle w:val="Normale"/>
        <w:spacing w:after="0"/>
      </w:pPr>
    </w:p>
    <w:p>
      <w:pPr>
        <w:pStyle w:val="Normale"/>
        <w:spacing w:after="0"/>
      </w:pPr>
    </w:p>
    <w:p>
      <w:pPr>
        <w:pStyle w:val="Normale"/>
        <w:spacing w:after="0"/>
        <w:jc w:val="both"/>
        <w:rPr>
          <w:sz w:val="24"/>
          <w:szCs w:val="24"/>
        </w:rPr>
      </w:pPr>
    </w:p>
    <w:p>
      <w:pPr>
        <w:pStyle w:val="Normale"/>
        <w:spacing w:after="0"/>
        <w:jc w:val="both"/>
        <w:rPr>
          <w:sz w:val="24"/>
          <w:szCs w:val="24"/>
        </w:rPr>
      </w:pPr>
    </w:p>
    <w:p>
      <w:pPr>
        <w:pStyle w:val="Normale"/>
        <w:spacing w:after="0"/>
        <w:jc w:val="both"/>
        <w:rPr>
          <w:sz w:val="24"/>
          <w:szCs w:val="24"/>
        </w:rPr>
      </w:pPr>
    </w:p>
    <w:p>
      <w:pPr>
        <w:pStyle w:val="Normale"/>
        <w:spacing w:after="0"/>
        <w:jc w:val="both"/>
        <w:rPr>
          <w:sz w:val="24"/>
          <w:szCs w:val="24"/>
        </w:rPr>
      </w:pPr>
    </w:p>
    <w:p>
      <w:pPr>
        <w:pStyle w:val="Normale"/>
        <w:spacing w:after="0"/>
        <w:jc w:val="both"/>
        <w:rPr>
          <w:sz w:val="24"/>
          <w:szCs w:val="24"/>
        </w:rPr>
      </w:pPr>
    </w:p>
    <w:p>
      <w:pPr>
        <w:pStyle w:val="Normale"/>
        <w:spacing w:after="0"/>
        <w:jc w:val="both"/>
        <w:rPr>
          <w:sz w:val="24"/>
          <w:szCs w:val="24"/>
        </w:rPr>
      </w:pPr>
    </w:p>
    <w:p>
      <w:pPr>
        <w:pStyle w:val="Normale"/>
        <w:spacing w:after="0"/>
        <w:jc w:val="both"/>
        <w:rPr>
          <w:sz w:val="24"/>
          <w:szCs w:val="24"/>
        </w:rPr>
      </w:pPr>
    </w:p>
    <w:p>
      <w:pPr>
        <w:pStyle w:val="Normale"/>
        <w:spacing w:after="0"/>
        <w:jc w:val="both"/>
        <w:rPr>
          <w:sz w:val="24"/>
          <w:szCs w:val="24"/>
        </w:rPr>
      </w:pPr>
    </w:p>
    <w:p>
      <w:pPr>
        <w:pStyle w:val="Normale"/>
        <w:spacing w:after="0"/>
        <w:jc w:val="both"/>
        <w:rPr>
          <w:sz w:val="24"/>
          <w:szCs w:val="24"/>
        </w:rPr>
      </w:pPr>
    </w:p>
    <w:p>
      <w:pPr>
        <w:pStyle w:val="Normale"/>
        <w:spacing w:after="0"/>
        <w:jc w:val="both"/>
        <w:rPr>
          <w:sz w:val="24"/>
          <w:szCs w:val="24"/>
        </w:rPr>
      </w:pPr>
    </w:p>
    <w:p>
      <w:pPr>
        <w:pStyle w:val="Normale"/>
        <w:spacing w:after="0"/>
        <w:jc w:val="both"/>
        <w:rPr>
          <w:sz w:val="24"/>
          <w:szCs w:val="24"/>
        </w:rPr>
      </w:pPr>
    </w:p>
    <w:tbl>
      <w:tblPr>
        <w:tblW w:w="10316" w:type="dxa"/>
        <w:jc w:val="center"/>
        <w:tblInd w:w="17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316"/>
      </w:tblGrid>
      <w:tr>
        <w:tblPrEx>
          <w:shd w:val="clear" w:color="auto" w:fill="ced7e7"/>
        </w:tblPrEx>
        <w:trPr>
          <w:trHeight w:val="1260" w:hRule="atLeast"/>
        </w:trPr>
        <w:tc>
          <w:tcPr>
            <w:tcW w:type="dxa" w:w="10316"/>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center"/>
              <w:rPr>
                <w:b w:val="1"/>
                <w:bCs w:val="1"/>
                <w:color w:val="002060"/>
                <w:sz w:val="40"/>
                <w:szCs w:val="40"/>
                <w:u w:color="002060"/>
              </w:rPr>
            </w:pPr>
            <w:r>
              <w:rPr>
                <w:b w:val="1"/>
                <w:bCs w:val="1"/>
                <w:color w:val="002060"/>
                <w:sz w:val="40"/>
                <w:szCs w:val="40"/>
                <w:u w:color="002060"/>
                <w:rtl w:val="0"/>
                <w:lang w:val="it-IT"/>
              </w:rPr>
              <w:t>Stipendi docenti</w:t>
            </w:r>
          </w:p>
          <w:p>
            <w:pPr>
              <w:pStyle w:val="Normale"/>
              <w:bidi w:val="0"/>
              <w:spacing w:after="0" w:line="240" w:lineRule="auto"/>
              <w:ind w:left="0" w:right="0" w:firstLine="0"/>
              <w:jc w:val="center"/>
              <w:rPr>
                <w:rtl w:val="0"/>
              </w:rPr>
            </w:pPr>
            <w:r>
              <w:rPr>
                <w:b w:val="1"/>
                <w:bCs w:val="1"/>
                <w:color w:val="002060"/>
                <w:sz w:val="40"/>
                <w:szCs w:val="40"/>
                <w:u w:color="002060"/>
                <w:lang w:val="it-IT"/>
              </w:rPr>
              <w:br w:type="textWrapping"/>
            </w:r>
            <w:r>
              <w:rPr>
                <w:b w:val="1"/>
                <w:bCs w:val="1"/>
                <w:color w:val="002060"/>
                <w:sz w:val="28"/>
                <w:szCs w:val="28"/>
                <w:u w:color="002060"/>
                <w:rtl w:val="0"/>
                <w:lang w:val="it-IT"/>
              </w:rPr>
              <w:t>Tabellare: iniziale, a 15 anni e a fine carriera</w:t>
            </w:r>
          </w:p>
        </w:tc>
      </w:tr>
      <w:tr>
        <w:tblPrEx>
          <w:shd w:val="clear" w:color="auto" w:fill="ced7e7"/>
        </w:tblPrEx>
        <w:trPr>
          <w:trHeight w:val="500" w:hRule="atLeast"/>
        </w:trPr>
        <w:tc>
          <w:tcPr>
            <w:tcW w:type="dxa" w:w="10316"/>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center"/>
            </w:pPr>
            <w:r>
              <w:rPr>
                <w:b w:val="1"/>
                <w:bCs w:val="1"/>
                <w:color w:val="002060"/>
                <w:u w:color="002060"/>
                <w:rtl w:val="0"/>
                <w:lang w:val="it-IT"/>
              </w:rPr>
              <w:t xml:space="preserve">Importi convertiti in Euro </w:t>
            </w:r>
            <w:r>
              <w:rPr>
                <w:b w:val="1"/>
                <w:bCs w:val="1"/>
                <w:color w:val="002060"/>
                <w:u w:color="002060"/>
                <w:lang w:val="it-IT"/>
              </w:rPr>
              <w:br w:type="textWrapping"/>
            </w:r>
            <w:r>
              <w:rPr>
                <w:b w:val="1"/>
                <w:bCs w:val="1"/>
                <w:color w:val="002060"/>
                <w:u w:color="002060"/>
                <w:rtl w:val="0"/>
                <w:lang w:val="it-IT"/>
              </w:rPr>
              <w:t xml:space="preserve">FONTE OCSE </w:t>
            </w:r>
            <w:r>
              <w:rPr>
                <w:b w:val="1"/>
                <w:bCs w:val="1"/>
                <w:color w:val="002060"/>
                <w:u w:color="002060"/>
                <w:rtl w:val="0"/>
                <w:lang w:val="it-IT"/>
              </w:rPr>
              <w:t xml:space="preserve">– </w:t>
            </w:r>
            <w:r>
              <w:rPr>
                <w:b w:val="1"/>
                <w:bCs w:val="1"/>
                <w:color w:val="002060"/>
                <w:u w:color="002060"/>
                <w:rtl w:val="0"/>
                <w:lang w:val="it-IT"/>
              </w:rPr>
              <w:t>database in dollari USA rapportati alla Parit</w:t>
            </w:r>
            <w:r>
              <w:rPr>
                <w:b w:val="1"/>
                <w:bCs w:val="1"/>
                <w:color w:val="002060"/>
                <w:u w:color="002060"/>
                <w:rtl w:val="0"/>
                <w:lang w:val="it-IT"/>
              </w:rPr>
              <w:t xml:space="preserve">à </w:t>
            </w:r>
            <w:r>
              <w:rPr>
                <w:b w:val="1"/>
                <w:bCs w:val="1"/>
                <w:color w:val="002060"/>
                <w:u w:color="002060"/>
                <w:rtl w:val="0"/>
                <w:lang w:val="it-IT"/>
              </w:rPr>
              <w:t>di Potere d'Acquisto - PPA</w:t>
            </w:r>
          </w:p>
        </w:tc>
      </w:tr>
    </w:tbl>
    <w:p>
      <w:pPr>
        <w:pStyle w:val="Normale"/>
        <w:widowControl w:val="0"/>
        <w:spacing w:after="0" w:line="240" w:lineRule="auto"/>
        <w:ind w:left="70" w:hanging="70"/>
        <w:jc w:val="center"/>
        <w:rPr>
          <w:sz w:val="24"/>
          <w:szCs w:val="24"/>
        </w:rPr>
      </w:pPr>
    </w:p>
    <w:p>
      <w:pPr>
        <w:pStyle w:val="Normale"/>
        <w:spacing w:after="0"/>
        <w:jc w:val="both"/>
        <w:rPr>
          <w:sz w:val="24"/>
          <w:szCs w:val="24"/>
        </w:rPr>
      </w:pPr>
    </w:p>
    <w:p>
      <w:pPr>
        <w:pStyle w:val="Normale"/>
        <w:spacing w:after="0"/>
        <w:jc w:val="both"/>
        <w:rPr>
          <w:sz w:val="24"/>
          <w:szCs w:val="24"/>
        </w:rPr>
      </w:pPr>
    </w:p>
    <w:p>
      <w:pPr>
        <w:pStyle w:val="Normale"/>
        <w:spacing w:after="0"/>
        <w:ind w:left="567" w:right="981" w:firstLine="0"/>
        <w:rPr>
          <w:color w:val="0f243e"/>
          <w:sz w:val="24"/>
          <w:szCs w:val="24"/>
          <w:u w:color="0f243e"/>
        </w:rPr>
      </w:pPr>
      <w:r>
        <w:rPr>
          <w:color w:val="0f243e"/>
          <w:sz w:val="24"/>
          <w:szCs w:val="24"/>
          <w:u w:color="0f243e"/>
          <w:rtl w:val="0"/>
          <w:lang w:val="it-IT"/>
        </w:rPr>
        <w:t>Una percezione immediata relativa ai Paesi a noi quantitativamente pi</w:t>
      </w:r>
      <w:r>
        <w:rPr>
          <w:color w:val="0f243e"/>
          <w:sz w:val="24"/>
          <w:szCs w:val="24"/>
          <w:u w:color="0f243e"/>
          <w:rtl w:val="0"/>
          <w:lang w:val="it-IT"/>
        </w:rPr>
        <w:t xml:space="preserve">ù </w:t>
      </w:r>
      <w:r>
        <w:rPr>
          <w:color w:val="0f243e"/>
          <w:sz w:val="24"/>
          <w:szCs w:val="24"/>
          <w:u w:color="0f243e"/>
          <w:rtl w:val="0"/>
          <w:lang w:val="it-IT"/>
        </w:rPr>
        <w:t>vicini ci viene fornita dal grafico che segue:</w:t>
      </w:r>
    </w:p>
    <w:p>
      <w:pPr>
        <w:pStyle w:val="Normale"/>
        <w:spacing w:after="0"/>
        <w:ind w:left="1287" w:right="981" w:firstLine="0"/>
        <w:rPr>
          <w:b w:val="1"/>
          <w:bCs w:val="1"/>
          <w:color w:val="0f243e"/>
          <w:sz w:val="24"/>
          <w:szCs w:val="24"/>
          <w:u w:color="0f243e"/>
        </w:rPr>
      </w:pPr>
    </w:p>
    <w:p>
      <w:pPr>
        <w:pStyle w:val="Normale"/>
        <w:spacing w:after="0"/>
      </w:pPr>
    </w:p>
    <w:p>
      <w:pPr>
        <w:pStyle w:val="Normale"/>
        <w:spacing w:after="0"/>
        <w:jc w:val="center"/>
      </w:pPr>
      <w:r>
        <mc:AlternateContent>
          <mc:Choice Requires="wps">
            <w:drawing>
              <wp:anchor distT="0" distB="0" distL="0" distR="0" simplePos="0" relativeHeight="251660288" behindDoc="0" locked="0" layoutInCell="1" allowOverlap="1">
                <wp:simplePos x="0" y="0"/>
                <wp:positionH relativeFrom="column">
                  <wp:posOffset>2225042</wp:posOffset>
                </wp:positionH>
                <wp:positionV relativeFrom="line">
                  <wp:posOffset>4305</wp:posOffset>
                </wp:positionV>
                <wp:extent cx="91440" cy="3131821"/>
                <wp:effectExtent l="0" t="0" r="0" b="0"/>
                <wp:wrapNone/>
                <wp:docPr id="1073741831" name="officeArt object"/>
                <wp:cNvGraphicFramePr/>
                <a:graphic xmlns:a="http://schemas.openxmlformats.org/drawingml/2006/main">
                  <a:graphicData uri="http://schemas.microsoft.com/office/word/2010/wordprocessingShape">
                    <wps:wsp>
                      <wps:cNvSpPr/>
                      <wps:spPr>
                        <a:xfrm flipH="1" flipV="1">
                          <a:off x="0" y="0"/>
                          <a:ext cx="91440" cy="3131821"/>
                        </a:xfrm>
                        <a:prstGeom prst="line">
                          <a:avLst/>
                        </a:prstGeom>
                        <a:noFill/>
                        <a:ln w="9525" cap="flat">
                          <a:solidFill>
                            <a:srgbClr val="0000FF"/>
                          </a:solidFill>
                          <a:prstDash val="solid"/>
                          <a:round/>
                        </a:ln>
                        <a:effectLst/>
                      </wps:spPr>
                      <wps:bodyPr/>
                    </wps:wsp>
                  </a:graphicData>
                </a:graphic>
              </wp:anchor>
            </w:drawing>
          </mc:Choice>
          <mc:Fallback>
            <w:pict>
              <v:line id="_x0000_s1027" style="visibility:visible;position:absolute;margin-left:175.2pt;margin-top:0.3pt;width:7.2pt;height:246.6pt;z-index:251660288;mso-position-horizontal:absolute;mso-position-horizontal-relative:text;mso-position-vertical:absolute;mso-position-vertical-relative:line;mso-wrap-distance-left:0.0pt;mso-wrap-distance-top:0.0pt;mso-wrap-distance-right:0.0pt;mso-wrap-distance-bottom:0.0pt;flip:x y;">
                <v:fill on="f"/>
                <v:stroke filltype="solid" color="#0000FF"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r>
        <w:drawing>
          <wp:inline distT="0" distB="0" distL="0" distR="0">
            <wp:extent cx="5563421" cy="3892623"/>
            <wp:effectExtent l="0" t="0" r="0" b="0"/>
            <wp:docPr id="1073741832" name="officeArt object"/>
            <wp:cNvGraphicFramePr/>
            <a:graphic xmlns:a="http://schemas.openxmlformats.org/drawingml/2006/main">
              <a:graphicData uri="http://schemas.openxmlformats.org/drawingml/2006/picture">
                <pic:pic xmlns:pic="http://schemas.openxmlformats.org/drawingml/2006/picture">
                  <pic:nvPicPr>
                    <pic:cNvPr id="1073741832" name="image.png"/>
                    <pic:cNvPicPr>
                      <a:picLocks noChangeAspect="1"/>
                    </pic:cNvPicPr>
                  </pic:nvPicPr>
                  <pic:blipFill>
                    <a:blip r:embed="rId8">
                      <a:extLst/>
                    </a:blip>
                    <a:srcRect l="0" t="0" r="0" b="0"/>
                    <a:stretch>
                      <a:fillRect/>
                    </a:stretch>
                  </pic:blipFill>
                  <pic:spPr>
                    <a:xfrm>
                      <a:off x="0" y="0"/>
                      <a:ext cx="5563421" cy="3892623"/>
                    </a:xfrm>
                    <a:prstGeom prst="rect">
                      <a:avLst/>
                    </a:prstGeom>
                    <a:ln w="12700" cap="flat">
                      <a:noFill/>
                      <a:miter lim="400000"/>
                    </a:ln>
                    <a:effectLst/>
                  </pic:spPr>
                </pic:pic>
              </a:graphicData>
            </a:graphic>
          </wp:inline>
        </w:drawing>
      </w:r>
    </w:p>
    <w:p>
      <w:pPr>
        <w:pStyle w:val="Normale"/>
        <w:spacing w:after="0"/>
        <w:jc w:val="center"/>
      </w:pPr>
    </w:p>
    <w:p>
      <w:pPr>
        <w:pStyle w:val="Normale"/>
        <w:spacing w:after="0"/>
        <w:jc w:val="both"/>
      </w:pPr>
    </w:p>
    <w:p>
      <w:pPr>
        <w:pStyle w:val="Normale"/>
        <w:spacing w:after="0"/>
        <w:ind w:left="567" w:right="981" w:firstLine="0"/>
        <w:rPr>
          <w:color w:val="0f243e"/>
          <w:sz w:val="24"/>
          <w:szCs w:val="24"/>
          <w:u w:color="0f243e"/>
        </w:rPr>
      </w:pPr>
      <w:r>
        <w:rPr>
          <w:color w:val="0f243e"/>
          <w:sz w:val="24"/>
          <w:szCs w:val="24"/>
          <w:u w:color="0f243e"/>
          <w:rtl w:val="0"/>
          <w:lang w:val="it-IT"/>
        </w:rPr>
        <w:t>Notiamo come:</w:t>
      </w:r>
      <w:r>
        <w:rPr>
          <w:color w:val="0f243e"/>
          <w:sz w:val="24"/>
          <w:szCs w:val="24"/>
          <w:u w:color="0f243e"/>
        </w:rPr>
        <w:br w:type="textWrapping"/>
      </w:r>
    </w:p>
    <w:p>
      <w:pPr>
        <w:pStyle w:val="Normale"/>
        <w:numPr>
          <w:ilvl w:val="0"/>
          <w:numId w:val="6"/>
        </w:numPr>
        <w:bidi w:val="0"/>
        <w:spacing w:after="0"/>
        <w:ind w:right="981"/>
        <w:jc w:val="left"/>
        <w:rPr>
          <w:color w:val="0f243e"/>
          <w:sz w:val="24"/>
          <w:szCs w:val="24"/>
          <w:u w:color="0f243e"/>
          <w:rtl w:val="0"/>
          <w:lang w:val="it-IT"/>
        </w:rPr>
      </w:pPr>
      <w:r>
        <w:rPr>
          <w:b w:val="1"/>
          <w:bCs w:val="1"/>
          <w:color w:val="0f243e"/>
          <w:sz w:val="24"/>
          <w:szCs w:val="24"/>
          <w:u w:color="0f243e"/>
          <w:rtl w:val="0"/>
          <w:lang w:val="it-IT"/>
        </w:rPr>
        <w:t xml:space="preserve">la retribuzione dei docenti in Germania </w:t>
      </w:r>
      <w:r>
        <w:rPr>
          <w:b w:val="1"/>
          <w:bCs w:val="1"/>
          <w:color w:val="0f243e"/>
          <w:sz w:val="24"/>
          <w:szCs w:val="24"/>
          <w:u w:color="0f243e"/>
          <w:rtl w:val="0"/>
          <w:lang w:val="it-IT"/>
        </w:rPr>
        <w:t xml:space="preserve">è </w:t>
      </w:r>
      <w:r>
        <w:rPr>
          <w:b w:val="1"/>
          <w:bCs w:val="1"/>
          <w:color w:val="0f243e"/>
          <w:sz w:val="24"/>
          <w:szCs w:val="24"/>
          <w:u w:color="0f243e"/>
          <w:rtl w:val="0"/>
          <w:lang w:val="it-IT"/>
        </w:rPr>
        <w:t>praticamente doppia che da noi</w:t>
      </w:r>
      <w:r>
        <w:rPr>
          <w:color w:val="0f243e"/>
          <w:sz w:val="24"/>
          <w:szCs w:val="24"/>
          <w:u w:color="0f243e"/>
          <w:rtl w:val="0"/>
          <w:lang w:val="it-IT"/>
        </w:rPr>
        <w:t>, per tutti i gradi di scuole e per tutte le anzianit</w:t>
      </w:r>
      <w:r>
        <w:rPr>
          <w:color w:val="0f243e"/>
          <w:sz w:val="24"/>
          <w:szCs w:val="24"/>
          <w:u w:color="0f243e"/>
          <w:rtl w:val="0"/>
          <w:lang w:val="it-IT"/>
        </w:rPr>
        <w:t>à</w:t>
      </w:r>
      <w:r>
        <w:rPr>
          <w:color w:val="0f243e"/>
          <w:sz w:val="24"/>
          <w:szCs w:val="24"/>
          <w:u w:color="0f243e"/>
          <w:rtl w:val="0"/>
          <w:lang w:val="it-IT"/>
        </w:rPr>
        <w:t xml:space="preserve">, molto al di sopra della media europea; </w:t>
      </w:r>
    </w:p>
    <w:p>
      <w:pPr>
        <w:pStyle w:val="Normale"/>
        <w:numPr>
          <w:ilvl w:val="0"/>
          <w:numId w:val="6"/>
        </w:numPr>
        <w:bidi w:val="0"/>
        <w:spacing w:after="0"/>
        <w:ind w:right="981"/>
        <w:jc w:val="left"/>
        <w:rPr>
          <w:color w:val="0f243e"/>
          <w:sz w:val="24"/>
          <w:szCs w:val="24"/>
          <w:u w:color="0f243e"/>
          <w:rtl w:val="0"/>
          <w:lang w:val="it-IT"/>
        </w:rPr>
      </w:pPr>
      <w:r>
        <w:rPr>
          <w:b w:val="1"/>
          <w:bCs w:val="1"/>
          <w:color w:val="0f243e"/>
          <w:sz w:val="24"/>
          <w:szCs w:val="24"/>
          <w:u w:color="0f243e"/>
          <w:rtl w:val="0"/>
          <w:lang w:val="it-IT"/>
        </w:rPr>
        <w:t>la Spagna, ha retribuzioni sempre al di sopra della media EU</w:t>
      </w:r>
      <w:r>
        <w:rPr>
          <w:color w:val="0f243e"/>
          <w:sz w:val="24"/>
          <w:szCs w:val="24"/>
          <w:u w:color="0f243e"/>
          <w:rtl w:val="0"/>
          <w:lang w:val="it-IT"/>
        </w:rPr>
        <w:t>, ma pi</w:t>
      </w:r>
      <w:r>
        <w:rPr>
          <w:color w:val="0f243e"/>
          <w:sz w:val="24"/>
          <w:szCs w:val="24"/>
          <w:u w:color="0f243e"/>
          <w:rtl w:val="0"/>
          <w:lang w:val="it-IT"/>
        </w:rPr>
        <w:t xml:space="preserve">ù </w:t>
      </w:r>
      <w:r>
        <w:rPr>
          <w:color w:val="0f243e"/>
          <w:sz w:val="24"/>
          <w:szCs w:val="24"/>
          <w:u w:color="0f243e"/>
          <w:rtl w:val="0"/>
          <w:lang w:val="it-IT"/>
        </w:rPr>
        <w:t xml:space="preserve">marcatamente per quelle iniziali; </w:t>
      </w:r>
    </w:p>
    <w:p>
      <w:pPr>
        <w:pStyle w:val="Normale"/>
        <w:numPr>
          <w:ilvl w:val="0"/>
          <w:numId w:val="6"/>
        </w:numPr>
        <w:bidi w:val="0"/>
        <w:spacing w:after="0"/>
        <w:ind w:right="981"/>
        <w:jc w:val="left"/>
        <w:rPr>
          <w:color w:val="0f243e"/>
          <w:sz w:val="24"/>
          <w:szCs w:val="24"/>
          <w:u w:color="0f243e"/>
          <w:rtl w:val="0"/>
          <w:lang w:val="it-IT"/>
        </w:rPr>
      </w:pPr>
      <w:r>
        <w:rPr>
          <w:b w:val="1"/>
          <w:bCs w:val="1"/>
          <w:color w:val="0f243e"/>
          <w:sz w:val="24"/>
          <w:szCs w:val="24"/>
          <w:u w:color="0f243e"/>
          <w:rtl w:val="0"/>
          <w:lang w:val="it-IT"/>
        </w:rPr>
        <w:t>la Francia, ricalca l</w:t>
      </w:r>
      <w:r>
        <w:rPr>
          <w:b w:val="1"/>
          <w:bCs w:val="1"/>
          <w:color w:val="0f243e"/>
          <w:sz w:val="24"/>
          <w:szCs w:val="24"/>
          <w:u w:color="0f243e"/>
          <w:rtl w:val="0"/>
          <w:lang w:val="it-IT"/>
        </w:rPr>
        <w:t>’</w:t>
      </w:r>
      <w:r>
        <w:rPr>
          <w:b w:val="1"/>
          <w:bCs w:val="1"/>
          <w:color w:val="0f243e"/>
          <w:sz w:val="24"/>
          <w:szCs w:val="24"/>
          <w:u w:color="0f243e"/>
          <w:rtl w:val="0"/>
          <w:lang w:val="it-IT"/>
        </w:rPr>
        <w:t>andamento europeo</w:t>
      </w:r>
      <w:r>
        <w:rPr>
          <w:color w:val="0f243e"/>
          <w:sz w:val="24"/>
          <w:szCs w:val="24"/>
          <w:u w:color="0f243e"/>
          <w:rtl w:val="0"/>
          <w:lang w:val="it-IT"/>
        </w:rPr>
        <w:t>, ma con le retribuzioni intermedie pi</w:t>
      </w:r>
      <w:r>
        <w:rPr>
          <w:color w:val="0f243e"/>
          <w:sz w:val="24"/>
          <w:szCs w:val="24"/>
          <w:u w:color="0f243e"/>
          <w:rtl w:val="0"/>
          <w:lang w:val="it-IT"/>
        </w:rPr>
        <w:t xml:space="preserve">ù </w:t>
      </w:r>
      <w:r>
        <w:rPr>
          <w:color w:val="0f243e"/>
          <w:sz w:val="24"/>
          <w:szCs w:val="24"/>
          <w:u w:color="0f243e"/>
          <w:rtl w:val="0"/>
          <w:lang w:val="it-IT"/>
        </w:rPr>
        <w:t>basse;</w:t>
      </w:r>
    </w:p>
    <w:p>
      <w:pPr>
        <w:pStyle w:val="Normale"/>
        <w:numPr>
          <w:ilvl w:val="0"/>
          <w:numId w:val="6"/>
        </w:numPr>
        <w:bidi w:val="0"/>
        <w:spacing w:after="0"/>
        <w:ind w:right="981"/>
        <w:jc w:val="left"/>
        <w:rPr>
          <w:b w:val="1"/>
          <w:bCs w:val="1"/>
          <w:color w:val="0f243e"/>
          <w:sz w:val="24"/>
          <w:szCs w:val="24"/>
          <w:u w:color="0f243e"/>
          <w:rtl w:val="0"/>
          <w:lang w:val="it-IT"/>
        </w:rPr>
      </w:pPr>
      <w:r>
        <w:rPr>
          <w:b w:val="1"/>
          <w:bCs w:val="1"/>
          <w:color w:val="0f243e"/>
          <w:sz w:val="24"/>
          <w:szCs w:val="24"/>
          <w:u w:color="0f243e"/>
          <w:rtl w:val="0"/>
          <w:lang w:val="it-IT"/>
        </w:rPr>
        <w:t>l</w:t>
      </w:r>
      <w:r>
        <w:rPr>
          <w:b w:val="1"/>
          <w:bCs w:val="1"/>
          <w:color w:val="0f243e"/>
          <w:sz w:val="24"/>
          <w:szCs w:val="24"/>
          <w:u w:color="0f243e"/>
          <w:rtl w:val="0"/>
          <w:lang w:val="it-IT"/>
        </w:rPr>
        <w:t>’</w:t>
      </w:r>
      <w:r>
        <w:rPr>
          <w:b w:val="1"/>
          <w:bCs w:val="1"/>
          <w:color w:val="0f243e"/>
          <w:sz w:val="24"/>
          <w:szCs w:val="24"/>
          <w:u w:color="0f243e"/>
          <w:rtl w:val="0"/>
          <w:lang w:val="it-IT"/>
        </w:rPr>
        <w:t>Italia, infine, parte in linea con l</w:t>
      </w:r>
      <w:r>
        <w:rPr>
          <w:b w:val="1"/>
          <w:bCs w:val="1"/>
          <w:color w:val="0f243e"/>
          <w:sz w:val="24"/>
          <w:szCs w:val="24"/>
          <w:u w:color="0f243e"/>
          <w:rtl w:val="0"/>
          <w:lang w:val="it-IT"/>
        </w:rPr>
        <w:t>’</w:t>
      </w:r>
      <w:r>
        <w:rPr>
          <w:b w:val="1"/>
          <w:bCs w:val="1"/>
          <w:color w:val="0f243e"/>
          <w:sz w:val="24"/>
          <w:szCs w:val="24"/>
          <w:u w:color="0f243e"/>
          <w:rtl w:val="0"/>
          <w:lang w:val="it-IT"/>
        </w:rPr>
        <w:t>Europa, si mantiene allineata fino all</w:t>
      </w:r>
      <w:r>
        <w:rPr>
          <w:b w:val="1"/>
          <w:bCs w:val="1"/>
          <w:color w:val="0f243e"/>
          <w:sz w:val="24"/>
          <w:szCs w:val="24"/>
          <w:u w:color="0f243e"/>
          <w:rtl w:val="0"/>
          <w:lang w:val="it-IT"/>
        </w:rPr>
        <w:t>’</w:t>
      </w:r>
      <w:r>
        <w:rPr>
          <w:b w:val="1"/>
          <w:bCs w:val="1"/>
          <w:color w:val="0f243e"/>
          <w:sz w:val="24"/>
          <w:szCs w:val="24"/>
          <w:u w:color="0f243e"/>
          <w:rtl w:val="0"/>
          <w:lang w:val="it-IT"/>
        </w:rPr>
        <w:t>anzianit</w:t>
      </w:r>
      <w:r>
        <w:rPr>
          <w:b w:val="1"/>
          <w:bCs w:val="1"/>
          <w:color w:val="0f243e"/>
          <w:sz w:val="24"/>
          <w:szCs w:val="24"/>
          <w:u w:color="0f243e"/>
          <w:rtl w:val="0"/>
          <w:lang w:val="it-IT"/>
        </w:rPr>
        <w:t xml:space="preserve">à </w:t>
      </w:r>
      <w:r>
        <w:rPr>
          <w:b w:val="1"/>
          <w:bCs w:val="1"/>
          <w:color w:val="0f243e"/>
          <w:sz w:val="24"/>
          <w:szCs w:val="24"/>
          <w:u w:color="0f243e"/>
          <w:rtl w:val="0"/>
          <w:lang w:val="it-IT"/>
        </w:rPr>
        <w:t>di 15 anni e termina a fine carriera decisamente pi</w:t>
      </w:r>
      <w:r>
        <w:rPr>
          <w:b w:val="1"/>
          <w:bCs w:val="1"/>
          <w:color w:val="0f243e"/>
          <w:sz w:val="24"/>
          <w:szCs w:val="24"/>
          <w:u w:color="0f243e"/>
          <w:rtl w:val="0"/>
          <w:lang w:val="it-IT"/>
        </w:rPr>
        <w:t xml:space="preserve">ù </w:t>
      </w:r>
      <w:r>
        <w:rPr>
          <w:b w:val="1"/>
          <w:bCs w:val="1"/>
          <w:color w:val="0f243e"/>
          <w:sz w:val="24"/>
          <w:szCs w:val="24"/>
          <w:u w:color="0f243e"/>
          <w:rtl w:val="0"/>
          <w:lang w:val="it-IT"/>
        </w:rPr>
        <w:t>in basso.</w:t>
      </w:r>
    </w:p>
    <w:p>
      <w:pPr>
        <w:pStyle w:val="Normale"/>
        <w:jc w:val="center"/>
        <w:rPr>
          <w:color w:val="0f243e"/>
          <w:sz w:val="40"/>
          <w:szCs w:val="40"/>
          <w:u w:color="0f243e"/>
        </w:rPr>
      </w:pPr>
      <w:r>
        <w:rPr>
          <w:b w:val="1"/>
          <w:bCs w:val="1"/>
          <w:color w:val="0f243e"/>
          <w:sz w:val="40"/>
          <w:szCs w:val="40"/>
          <w:u w:color="0f243e"/>
          <w:rtl w:val="0"/>
          <w:lang w:val="it-IT"/>
        </w:rPr>
        <w:t>Il lavoro dei docenti</w:t>
      </w:r>
      <w:r>
        <w:rPr>
          <w:b w:val="1"/>
          <w:bCs w:val="1"/>
          <w:color w:val="0f243e"/>
          <w:sz w:val="40"/>
          <w:szCs w:val="40"/>
          <w:u w:color="0f243e"/>
          <w:rtl w:val="0"/>
        </w:rPr>
        <w:br w:type="textWrapping"/>
        <w:t xml:space="preserve"> </w:t>
      </w:r>
      <w:r>
        <w:rPr>
          <w:color w:val="0f243e"/>
          <w:sz w:val="40"/>
          <w:szCs w:val="40"/>
          <w:u w:color="0f243e"/>
          <w:rtl w:val="0"/>
          <w:lang w:val="it-IT"/>
        </w:rPr>
        <w:t>L</w:t>
      </w:r>
      <w:r>
        <w:rPr>
          <w:color w:val="0f243e"/>
          <w:sz w:val="40"/>
          <w:szCs w:val="40"/>
          <w:u w:color="0f243e"/>
          <w:rtl w:val="0"/>
          <w:lang w:val="it-IT"/>
        </w:rPr>
        <w:t>’</w:t>
      </w:r>
      <w:r>
        <w:rPr>
          <w:color w:val="0f243e"/>
          <w:sz w:val="40"/>
          <w:szCs w:val="40"/>
          <w:u w:color="0f243e"/>
          <w:rtl w:val="0"/>
          <w:lang w:val="it-IT"/>
        </w:rPr>
        <w:t>orario settimanale e la durata dell</w:t>
      </w:r>
      <w:r>
        <w:rPr>
          <w:color w:val="0f243e"/>
          <w:sz w:val="40"/>
          <w:szCs w:val="40"/>
          <w:u w:color="0f243e"/>
          <w:rtl w:val="0"/>
          <w:lang w:val="it-IT"/>
        </w:rPr>
        <w:t>’</w:t>
      </w:r>
      <w:r>
        <w:rPr>
          <w:color w:val="0f243e"/>
          <w:sz w:val="40"/>
          <w:szCs w:val="40"/>
          <w:u w:color="0f243e"/>
          <w:rtl w:val="0"/>
          <w:lang w:val="it-IT"/>
        </w:rPr>
        <w:t>anno scolastico</w:t>
      </w:r>
    </w:p>
    <w:p>
      <w:pPr>
        <w:pStyle w:val="Normale"/>
        <w:ind w:left="567" w:right="697" w:firstLine="0"/>
        <w:rPr>
          <w:color w:val="0f243e"/>
          <w:sz w:val="24"/>
          <w:szCs w:val="24"/>
          <w:u w:color="0f243e"/>
        </w:rPr>
      </w:pPr>
      <w:r>
        <w:rPr>
          <w:color w:val="0f243e"/>
          <w:sz w:val="24"/>
          <w:szCs w:val="24"/>
          <w:u w:color="0f243e"/>
          <w:rtl w:val="0"/>
          <w:lang w:val="it-IT"/>
        </w:rPr>
        <w:t>Una recente pubblicazione di Eurydice (</w:t>
      </w:r>
      <w:r>
        <w:rPr>
          <w:i w:val="1"/>
          <w:iCs w:val="1"/>
          <w:color w:val="0f243e"/>
          <w:sz w:val="24"/>
          <w:szCs w:val="24"/>
          <w:u w:color="0f243e"/>
          <w:rtl w:val="0"/>
          <w:lang w:val="it-IT"/>
        </w:rPr>
        <w:t>TheTeaching Profession in Europe: Practices, Perceptions, and Policies, 2016</w:t>
      </w:r>
      <w:r>
        <w:rPr>
          <w:color w:val="0f243e"/>
          <w:sz w:val="24"/>
          <w:szCs w:val="24"/>
          <w:u w:color="0f243e"/>
          <w:rtl w:val="0"/>
          <w:lang w:val="it-IT"/>
        </w:rPr>
        <w:t>) riporta i dati relativi all</w:t>
      </w:r>
      <w:r>
        <w:rPr>
          <w:b w:val="1"/>
          <w:bCs w:val="1"/>
          <w:color w:val="0f243e"/>
          <w:sz w:val="24"/>
          <w:szCs w:val="24"/>
          <w:u w:color="0f243e"/>
          <w:rtl w:val="0"/>
          <w:lang w:val="it-IT"/>
        </w:rPr>
        <w:t>’</w:t>
      </w:r>
      <w:r>
        <w:rPr>
          <w:b w:val="1"/>
          <w:bCs w:val="1"/>
          <w:color w:val="0f243e"/>
          <w:sz w:val="24"/>
          <w:szCs w:val="24"/>
          <w:u w:color="0f243e"/>
          <w:rtl w:val="0"/>
          <w:lang w:val="it-IT"/>
        </w:rPr>
        <w:t>orario settimanale di insegnamento</w:t>
      </w:r>
      <w:r>
        <w:rPr>
          <w:color w:val="0f243e"/>
          <w:sz w:val="24"/>
          <w:szCs w:val="24"/>
          <w:u w:color="0f243e"/>
          <w:rtl w:val="0"/>
          <w:lang w:val="it-IT"/>
        </w:rPr>
        <w:t xml:space="preserve"> nella scuola secondaria di primo grado.</w:t>
      </w:r>
      <w:r>
        <w:rPr>
          <w:color w:val="0f243e"/>
          <w:sz w:val="24"/>
          <w:szCs w:val="24"/>
          <w:u w:color="0f243e"/>
        </w:rPr>
        <w:br w:type="textWrapping"/>
      </w:r>
      <w:r>
        <w:rPr>
          <w:b w:val="1"/>
          <w:bCs w:val="1"/>
          <w:color w:val="0f243e"/>
          <w:sz w:val="24"/>
          <w:szCs w:val="24"/>
          <w:u w:color="0f243e"/>
          <w:rtl w:val="0"/>
          <w:lang w:val="it-IT"/>
        </w:rPr>
        <w:t xml:space="preserve">La media europea </w:t>
      </w:r>
      <w:r>
        <w:rPr>
          <w:b w:val="1"/>
          <w:bCs w:val="1"/>
          <w:color w:val="0f243e"/>
          <w:sz w:val="24"/>
          <w:szCs w:val="24"/>
          <w:u w:color="0f243e"/>
          <w:rtl w:val="0"/>
          <w:lang w:val="it-IT"/>
        </w:rPr>
        <w:t xml:space="preserve">è </w:t>
      </w:r>
      <w:r>
        <w:rPr>
          <w:b w:val="1"/>
          <w:bCs w:val="1"/>
          <w:color w:val="0f243e"/>
          <w:sz w:val="24"/>
          <w:szCs w:val="24"/>
          <w:u w:color="0f243e"/>
          <w:rtl w:val="0"/>
          <w:lang w:val="it-IT"/>
        </w:rPr>
        <w:t>di 19 ore a fronte delle nostre 18</w:t>
      </w:r>
      <w:r>
        <w:rPr>
          <w:color w:val="0f243e"/>
          <w:sz w:val="24"/>
          <w:szCs w:val="24"/>
          <w:u w:color="0f243e"/>
          <w:rtl w:val="0"/>
          <w:lang w:val="it-IT"/>
        </w:rPr>
        <w:t xml:space="preserve">,  </w:t>
      </w:r>
      <w:r>
        <w:rPr>
          <w:b w:val="1"/>
          <w:bCs w:val="1"/>
          <w:color w:val="0f243e"/>
          <w:sz w:val="24"/>
          <w:szCs w:val="24"/>
          <w:u w:color="0f243e"/>
          <w:rtl w:val="0"/>
          <w:lang w:val="it-IT"/>
        </w:rPr>
        <w:t>sostanzialmente in  analogia con gli impegni di insegnamento diretto richiesto ai docenti nei vari Paesi.</w:t>
      </w:r>
      <w:r>
        <w:rPr>
          <w:b w:val="1"/>
          <w:bCs w:val="1"/>
          <w:color w:val="0f243e"/>
          <w:sz w:val="24"/>
          <w:szCs w:val="24"/>
          <w:u w:color="0f243e"/>
        </w:rPr>
        <w:br w:type="textWrapping"/>
      </w:r>
      <w:r>
        <w:rPr>
          <w:color w:val="0f243e"/>
          <w:sz w:val="24"/>
          <w:szCs w:val="24"/>
          <w:u w:color="0f243e"/>
          <w:rtl w:val="0"/>
          <w:lang w:val="it-IT"/>
        </w:rPr>
        <w:t>[Per la scuola primaria e quella secondaria di secondo grado sempre Eurydice ha fornito delle rilevazioni che, in termini comparativi tra i vari Stati, confermavano i rapporti di questa indagine, con l</w:t>
      </w:r>
      <w:r>
        <w:rPr>
          <w:color w:val="0f243e"/>
          <w:sz w:val="24"/>
          <w:szCs w:val="24"/>
          <w:u w:color="0f243e"/>
          <w:rtl w:val="0"/>
          <w:lang w:val="it-IT"/>
        </w:rPr>
        <w:t>’</w:t>
      </w:r>
      <w:r>
        <w:rPr>
          <w:color w:val="0f243e"/>
          <w:sz w:val="24"/>
          <w:szCs w:val="24"/>
          <w:u w:color="0f243e"/>
          <w:rtl w:val="0"/>
          <w:lang w:val="it-IT"/>
        </w:rPr>
        <w:t xml:space="preserve">orario italiano per il secondo grado leggermente superiore alla media europea]. </w:t>
      </w:r>
    </w:p>
    <w:p>
      <w:pPr>
        <w:pStyle w:val="Normale"/>
        <w:ind w:left="567" w:right="697" w:firstLine="0"/>
        <w:rPr>
          <w:color w:val="0f243e"/>
          <w:sz w:val="24"/>
          <w:szCs w:val="24"/>
          <w:u w:color="0f243e"/>
        </w:rPr>
      </w:pPr>
      <w:r>
        <w:rPr>
          <w:color w:val="0f243e"/>
          <w:sz w:val="24"/>
          <w:szCs w:val="24"/>
          <w:u w:color="0f243e"/>
          <w:rtl w:val="0"/>
          <w:lang w:val="it-IT"/>
        </w:rPr>
        <w:t>In molti Paesi possono essere richieste anche prestazioni superiori (come da noi cattedre formate da un numero superiore di ore o assegnazione di ore aggiuntive) generalmente retribuite ad hoc, e talvolta l</w:t>
      </w:r>
      <w:r>
        <w:rPr>
          <w:color w:val="0f243e"/>
          <w:sz w:val="24"/>
          <w:szCs w:val="24"/>
          <w:u w:color="0f243e"/>
          <w:rtl w:val="0"/>
          <w:lang w:val="it-IT"/>
        </w:rPr>
        <w:t>’</w:t>
      </w:r>
      <w:r>
        <w:rPr>
          <w:color w:val="0f243e"/>
          <w:sz w:val="24"/>
          <w:szCs w:val="24"/>
          <w:u w:color="0f243e"/>
          <w:rtl w:val="0"/>
          <w:lang w:val="it-IT"/>
        </w:rPr>
        <w:t xml:space="preserve">orario di cattedra </w:t>
      </w:r>
      <w:r>
        <w:rPr>
          <w:color w:val="0f243e"/>
          <w:sz w:val="24"/>
          <w:szCs w:val="24"/>
          <w:u w:color="0f243e"/>
          <w:rtl w:val="0"/>
          <w:lang w:val="it-IT"/>
        </w:rPr>
        <w:t xml:space="preserve">è </w:t>
      </w:r>
      <w:r>
        <w:rPr>
          <w:color w:val="0f243e"/>
          <w:sz w:val="24"/>
          <w:szCs w:val="24"/>
          <w:u w:color="0f243e"/>
          <w:rtl w:val="0"/>
          <w:lang w:val="it-IT"/>
        </w:rPr>
        <w:t xml:space="preserve">differenziato per materie. </w:t>
      </w:r>
    </w:p>
    <w:p>
      <w:pPr>
        <w:pStyle w:val="Normale"/>
        <w:ind w:left="567" w:right="697" w:firstLine="0"/>
        <w:rPr>
          <w:color w:val="0f243e"/>
          <w:sz w:val="24"/>
          <w:szCs w:val="24"/>
          <w:u w:color="0f243e"/>
        </w:rPr>
      </w:pPr>
      <w:r>
        <w:rPr>
          <w:color w:val="0f243e"/>
          <w:sz w:val="24"/>
          <w:szCs w:val="24"/>
          <w:u w:color="0f243e"/>
          <w:rtl w:val="0"/>
          <w:lang w:val="it-IT"/>
        </w:rPr>
        <w:t>Quasi dovunque sono richieste delle ore per svolgere attivit</w:t>
      </w:r>
      <w:r>
        <w:rPr>
          <w:color w:val="0f243e"/>
          <w:sz w:val="24"/>
          <w:szCs w:val="24"/>
          <w:u w:color="0f243e"/>
          <w:rtl w:val="0"/>
          <w:lang w:val="it-IT"/>
        </w:rPr>
        <w:t xml:space="preserve">à </w:t>
      </w:r>
      <w:r>
        <w:rPr>
          <w:color w:val="0f243e"/>
          <w:sz w:val="24"/>
          <w:szCs w:val="24"/>
          <w:u w:color="0f243e"/>
          <w:rtl w:val="0"/>
          <w:lang w:val="it-IT"/>
        </w:rPr>
        <w:t>collegiali, incontri di programmazione, colloqui con genitori, come per l</w:t>
      </w:r>
      <w:r>
        <w:rPr>
          <w:color w:val="0f243e"/>
          <w:sz w:val="24"/>
          <w:szCs w:val="24"/>
          <w:u w:color="0f243e"/>
          <w:rtl w:val="0"/>
          <w:lang w:val="it-IT"/>
        </w:rPr>
        <w:t>’</w:t>
      </w:r>
      <w:r>
        <w:rPr>
          <w:color w:val="0f243e"/>
          <w:sz w:val="24"/>
          <w:szCs w:val="24"/>
          <w:u w:color="0f243e"/>
          <w:rtl w:val="0"/>
          <w:lang w:val="it-IT"/>
        </w:rPr>
        <w:t xml:space="preserve">istituto delle 80 ore previsto dal nostro contratto di lavoro. </w:t>
      </w:r>
    </w:p>
    <w:p>
      <w:pPr>
        <w:pStyle w:val="Normale"/>
        <w:ind w:left="567" w:right="697" w:firstLine="0"/>
        <w:rPr>
          <w:color w:val="0f243e"/>
          <w:sz w:val="24"/>
          <w:szCs w:val="24"/>
          <w:u w:color="0f243e"/>
        </w:rPr>
      </w:pPr>
      <w:r>
        <w:rPr>
          <w:color w:val="0f243e"/>
          <w:sz w:val="24"/>
          <w:szCs w:val="24"/>
          <w:u w:color="0f243e"/>
          <w:rtl w:val="0"/>
          <w:lang w:val="it-IT"/>
        </w:rPr>
        <w:t xml:space="preserve">Alcuni Paesi prevedono un monte ore settimanale di lavoro analogo a quello degli altri lavoratori pubblici (da 35 a 40 ore), ma spesso </w:t>
      </w:r>
      <w:r>
        <w:rPr>
          <w:color w:val="0f243e"/>
          <w:sz w:val="24"/>
          <w:szCs w:val="24"/>
          <w:u w:color="0f243e"/>
          <w:rtl w:val="0"/>
          <w:lang w:val="it-IT"/>
        </w:rPr>
        <w:t xml:space="preserve">è </w:t>
      </w:r>
      <w:r>
        <w:rPr>
          <w:color w:val="0f243e"/>
          <w:sz w:val="24"/>
          <w:szCs w:val="24"/>
          <w:u w:color="0f243e"/>
          <w:rtl w:val="0"/>
          <w:lang w:val="it-IT"/>
        </w:rPr>
        <w:t xml:space="preserve">puramente teorico e solo in alcuni pochi casi vengono messi a disposizione dei docenti spazi e strutture per adempiere agli obblighi professionali (programmazione/progettazione delle lezioni, correzioni compiti, autoaggiornamento, ecc.) connessi alla loro professione: studi personali attrezzati con ausili informatici, stampanti, fotocopiatrici, biblioteca, emeroteca, etc.  </w:t>
      </w:r>
    </w:p>
    <w:p>
      <w:pPr>
        <w:pStyle w:val="Normale"/>
        <w:ind w:left="567" w:right="697" w:firstLine="0"/>
        <w:rPr>
          <w:color w:val="0f243e"/>
          <w:sz w:val="24"/>
          <w:szCs w:val="24"/>
          <w:u w:color="0f243e"/>
        </w:rPr>
      </w:pPr>
      <w:r>
        <w:rPr>
          <w:color w:val="0f243e"/>
          <w:sz w:val="24"/>
          <w:szCs w:val="24"/>
          <w:u w:color="0f243e"/>
          <w:rtl w:val="0"/>
          <w:lang w:val="it-IT"/>
        </w:rPr>
        <w:t>[U</w:t>
      </w:r>
      <w:r>
        <w:rPr>
          <w:color w:val="0f243e"/>
          <w:sz w:val="24"/>
          <w:szCs w:val="24"/>
          <w:u w:color="0f243e"/>
          <w:rtl w:val="0"/>
          <w:lang w:val="fr-FR"/>
        </w:rPr>
        <w:t xml:space="preserve">n intero capitolo </w:t>
      </w:r>
      <w:r>
        <w:rPr>
          <w:color w:val="0f243e"/>
          <w:sz w:val="24"/>
          <w:szCs w:val="24"/>
          <w:u w:color="0f243e"/>
          <w:rtl w:val="0"/>
          <w:lang w:val="fr-FR"/>
        </w:rPr>
        <w:t xml:space="preserve">– </w:t>
      </w:r>
      <w:r>
        <w:rPr>
          <w:color w:val="0f243e"/>
          <w:sz w:val="24"/>
          <w:szCs w:val="24"/>
          <w:u w:color="0f243e"/>
          <w:rtl w:val="0"/>
          <w:lang w:val="fr-FR"/>
        </w:rPr>
        <w:t xml:space="preserve">pagg. 347/438 - di </w:t>
      </w:r>
      <w:r>
        <w:rPr>
          <w:color w:val="0f243e"/>
          <w:sz w:val="24"/>
          <w:szCs w:val="24"/>
          <w:u w:color="0f243e"/>
          <w:rtl w:val="0"/>
          <w:lang w:val="fr-FR"/>
        </w:rPr>
        <w:t>“</w:t>
      </w:r>
      <w:r>
        <w:rPr>
          <w:color w:val="0f243e"/>
          <w:sz w:val="24"/>
          <w:szCs w:val="24"/>
          <w:u w:color="0f243e"/>
          <w:rtl w:val="0"/>
          <w:lang w:val="fr-FR"/>
        </w:rPr>
        <w:t>Regards  sur l</w:t>
      </w:r>
      <w:r>
        <w:rPr>
          <w:color w:val="0f243e"/>
          <w:sz w:val="24"/>
          <w:szCs w:val="24"/>
          <w:u w:color="0f243e"/>
          <w:rtl w:val="0"/>
          <w:lang w:val="fr-FR"/>
        </w:rPr>
        <w:t>’é</w:t>
      </w:r>
      <w:r>
        <w:rPr>
          <w:color w:val="0f243e"/>
          <w:sz w:val="24"/>
          <w:szCs w:val="24"/>
          <w:u w:color="0f243e"/>
          <w:rtl w:val="0"/>
          <w:lang w:val="fr-FR"/>
        </w:rPr>
        <w:t>ducation 2017</w:t>
      </w:r>
      <w:r>
        <w:rPr>
          <w:color w:val="0f243e"/>
          <w:sz w:val="24"/>
          <w:szCs w:val="24"/>
          <w:u w:color="0f243e"/>
          <w:rtl w:val="0"/>
          <w:lang w:val="fr-FR"/>
        </w:rPr>
        <w:t xml:space="preserve">” è </w:t>
      </w:r>
      <w:r>
        <w:rPr>
          <w:color w:val="0f243e"/>
          <w:sz w:val="24"/>
          <w:szCs w:val="24"/>
          <w:u w:color="0f243e"/>
          <w:rtl w:val="0"/>
          <w:lang w:val="fr-FR"/>
        </w:rPr>
        <w:t xml:space="preserve">dedicato a </w:t>
      </w:r>
      <w:r>
        <w:rPr>
          <w:color w:val="0f243e"/>
          <w:sz w:val="24"/>
          <w:szCs w:val="24"/>
          <w:u w:color="0f243e"/>
          <w:rtl w:val="0"/>
          <w:lang w:val="fr-FR"/>
        </w:rPr>
        <w:t>“</w:t>
      </w:r>
      <w:r>
        <w:rPr>
          <w:color w:val="0f243e"/>
          <w:sz w:val="24"/>
          <w:szCs w:val="24"/>
          <w:u w:color="0f243e"/>
          <w:rtl w:val="0"/>
          <w:lang w:val="fr-FR"/>
        </w:rPr>
        <w:t>Environnement d</w:t>
      </w:r>
      <w:r>
        <w:rPr>
          <w:color w:val="0f243e"/>
          <w:sz w:val="24"/>
          <w:szCs w:val="24"/>
          <w:u w:color="0f243e"/>
          <w:rtl w:val="0"/>
          <w:lang w:val="fr-FR"/>
        </w:rPr>
        <w:t>’</w:t>
      </w:r>
      <w:r>
        <w:rPr>
          <w:color w:val="0f243e"/>
          <w:sz w:val="24"/>
          <w:szCs w:val="24"/>
          <w:u w:color="0f243e"/>
          <w:rtl w:val="0"/>
          <w:lang w:val="fr-FR"/>
        </w:rPr>
        <w:t>apprentissage et organisation scolaire</w:t>
      </w:r>
      <w:r>
        <w:rPr>
          <w:color w:val="0f243e"/>
          <w:sz w:val="24"/>
          <w:szCs w:val="24"/>
          <w:u w:color="0f243e"/>
          <w:rtl w:val="0"/>
          <w:lang w:val="fr-FR"/>
        </w:rPr>
        <w:t>”</w:t>
      </w:r>
      <w:r>
        <w:rPr>
          <w:color w:val="0f243e"/>
          <w:sz w:val="24"/>
          <w:szCs w:val="24"/>
          <w:u w:color="0f243e"/>
          <w:rtl w:val="0"/>
          <w:lang w:val="fr-FR"/>
        </w:rPr>
        <w:t>]</w:t>
      </w:r>
    </w:p>
    <w:p>
      <w:pPr>
        <w:pStyle w:val="Normale"/>
        <w:ind w:left="567" w:right="697" w:firstLine="0"/>
        <w:rPr>
          <w:color w:val="0f243e"/>
          <w:sz w:val="24"/>
          <w:szCs w:val="24"/>
          <w:u w:color="0f243e"/>
          <w:lang w:val="fr-FR"/>
        </w:rPr>
      </w:pPr>
    </w:p>
    <w:p>
      <w:pPr>
        <w:pStyle w:val="Normale"/>
        <w:ind w:left="567" w:right="697" w:firstLine="0"/>
        <w:rPr>
          <w:color w:val="0f243e"/>
          <w:sz w:val="24"/>
          <w:szCs w:val="24"/>
          <w:u w:color="0f243e"/>
          <w:lang w:val="fr-FR"/>
        </w:rPr>
      </w:pPr>
    </w:p>
    <w:p>
      <w:pPr>
        <w:pStyle w:val="Normale"/>
        <w:ind w:left="567" w:right="697" w:firstLine="0"/>
        <w:rPr>
          <w:color w:val="0f243e"/>
          <w:sz w:val="24"/>
          <w:szCs w:val="24"/>
          <w:u w:color="0f243e"/>
          <w:lang w:val="fr-FR"/>
        </w:rPr>
      </w:pPr>
    </w:p>
    <w:p>
      <w:pPr>
        <w:pStyle w:val="Normale"/>
        <w:ind w:left="567" w:right="697" w:firstLine="0"/>
        <w:rPr>
          <w:color w:val="0f243e"/>
          <w:sz w:val="24"/>
          <w:szCs w:val="24"/>
          <w:u w:color="0f243e"/>
          <w:lang w:val="fr-FR"/>
        </w:rPr>
      </w:pPr>
    </w:p>
    <w:p>
      <w:pPr>
        <w:pStyle w:val="Normale"/>
        <w:ind w:left="567" w:right="697" w:firstLine="0"/>
        <w:rPr>
          <w:color w:val="0f243e"/>
          <w:sz w:val="24"/>
          <w:szCs w:val="24"/>
          <w:u w:color="0f243e"/>
          <w:lang w:val="fr-FR"/>
        </w:rPr>
      </w:pPr>
    </w:p>
    <w:p>
      <w:pPr>
        <w:pStyle w:val="Normale"/>
        <w:ind w:left="567" w:right="697" w:firstLine="0"/>
        <w:rPr>
          <w:color w:val="0f243e"/>
          <w:sz w:val="24"/>
          <w:szCs w:val="24"/>
          <w:u w:color="0f243e"/>
          <w:lang w:val="fr-FR"/>
        </w:rPr>
      </w:pPr>
    </w:p>
    <w:p>
      <w:pPr>
        <w:pStyle w:val="Normale"/>
        <w:ind w:left="567" w:right="697" w:firstLine="0"/>
        <w:rPr>
          <w:color w:val="0f243e"/>
          <w:sz w:val="24"/>
          <w:szCs w:val="24"/>
          <w:u w:color="0f243e"/>
          <w:lang w:val="fr-FR"/>
        </w:rPr>
      </w:pPr>
    </w:p>
    <w:p>
      <w:pPr>
        <w:pStyle w:val="Normale"/>
        <w:ind w:left="567" w:right="697" w:firstLine="0"/>
        <w:rPr>
          <w:color w:val="0f243e"/>
          <w:sz w:val="24"/>
          <w:szCs w:val="24"/>
          <w:u w:color="0f243e"/>
          <w:lang w:val="fr-FR"/>
        </w:rPr>
      </w:pPr>
    </w:p>
    <w:p>
      <w:pPr>
        <w:pStyle w:val="Normale"/>
        <w:ind w:left="567" w:right="697" w:firstLine="0"/>
        <w:rPr>
          <w:color w:val="0f243e"/>
          <w:sz w:val="24"/>
          <w:szCs w:val="24"/>
          <w:u w:color="0f243e"/>
          <w:lang w:val="fr-FR"/>
        </w:rPr>
      </w:pPr>
    </w:p>
    <w:tbl>
      <w:tblPr>
        <w:tblW w:w="4669"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100"/>
        <w:gridCol w:w="508"/>
        <w:gridCol w:w="1061"/>
      </w:tblGrid>
      <w:tr>
        <w:tblPrEx>
          <w:shd w:val="clear" w:color="auto" w:fill="ced7e7"/>
        </w:tblPrEx>
        <w:trPr>
          <w:trHeight w:val="660" w:hRule="atLeast"/>
        </w:trPr>
        <w:tc>
          <w:tcPr>
            <w:tcW w:type="dxa" w:w="4669"/>
            <w:gridSpan w:val="3"/>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jc w:val="center"/>
            </w:pPr>
            <w:r>
              <w:rPr>
                <w:b w:val="1"/>
                <w:bCs w:val="1"/>
                <w:color w:val="1f497d"/>
                <w:sz w:val="28"/>
                <w:szCs w:val="28"/>
                <w:u w:color="1f497d"/>
                <w:rtl w:val="0"/>
                <w:lang w:val="it-IT"/>
              </w:rPr>
              <w:t>Orario settimanale di insegnamento</w:t>
            </w:r>
          </w:p>
        </w:tc>
      </w:tr>
      <w:tr>
        <w:tblPrEx>
          <w:shd w:val="clear" w:color="auto" w:fill="ced7e7"/>
        </w:tblPrEx>
        <w:trPr>
          <w:trHeight w:val="340" w:hRule="atLeast"/>
        </w:trPr>
        <w:tc>
          <w:tcPr>
            <w:tcW w:type="dxa" w:w="4669"/>
            <w:gridSpan w:val="3"/>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jc w:val="center"/>
            </w:pPr>
            <w:r>
              <w:rPr>
                <w:b w:val="1"/>
                <w:bCs w:val="1"/>
                <w:color w:val="1f497d"/>
                <w:sz w:val="28"/>
                <w:szCs w:val="28"/>
                <w:u w:color="1f497d"/>
                <w:rtl w:val="0"/>
                <w:lang w:val="it-IT"/>
              </w:rPr>
              <w:t>scuola secondaria 1</w:t>
            </w:r>
            <w:r>
              <w:rPr>
                <w:b w:val="1"/>
                <w:bCs w:val="1"/>
                <w:color w:val="1f497d"/>
                <w:sz w:val="28"/>
                <w:szCs w:val="28"/>
                <w:u w:color="1f497d"/>
                <w:rtl w:val="0"/>
                <w:lang w:val="it-IT"/>
              </w:rPr>
              <w:t xml:space="preserve">° </w:t>
            </w:r>
            <w:r>
              <w:rPr>
                <w:b w:val="1"/>
                <w:bCs w:val="1"/>
                <w:color w:val="1f497d"/>
                <w:sz w:val="28"/>
                <w:szCs w:val="28"/>
                <w:u w:color="1f497d"/>
                <w:rtl w:val="0"/>
                <w:lang w:val="it-IT"/>
              </w:rPr>
              <w:t>grado</w:t>
            </w:r>
          </w:p>
        </w:tc>
      </w:tr>
      <w:tr>
        <w:tblPrEx>
          <w:shd w:val="clear" w:color="auto" w:fill="ced7e7"/>
        </w:tblPrEx>
        <w:trPr>
          <w:trHeight w:val="300" w:hRule="atLeast"/>
        </w:trPr>
        <w:tc>
          <w:tcPr>
            <w:tcW w:type="dxa" w:w="3100"/>
            <w:tcBorders>
              <w:top w:val="single" w:color="000000" w:sz="8" w:space="0" w:shadow="0" w:frame="0"/>
              <w:left w:val="single" w:color="000000" w:sz="8" w:space="0" w:shadow="0" w:frame="0"/>
              <w:bottom w:val="nil"/>
              <w:right w:val="nil"/>
            </w:tcBorders>
            <w:shd w:val="clear" w:color="auto" w:fill="auto"/>
            <w:tcMar>
              <w:top w:type="dxa" w:w="80"/>
              <w:left w:type="dxa" w:w="80"/>
              <w:bottom w:type="dxa" w:w="80"/>
              <w:right w:type="dxa" w:w="80"/>
            </w:tcMar>
            <w:vAlign w:val="bottom"/>
          </w:tcPr>
          <w:p>
            <w:pPr>
              <w:pStyle w:val="Normale"/>
              <w:spacing w:after="0" w:line="240" w:lineRule="auto"/>
            </w:pPr>
            <w:r>
              <w:rPr>
                <w:color w:val="1f497d"/>
                <w:sz w:val="24"/>
                <w:szCs w:val="24"/>
                <w:u w:color="1f497d"/>
                <w:rtl w:val="0"/>
                <w:lang w:val="it-IT"/>
              </w:rPr>
              <w:t> </w:t>
            </w:r>
          </w:p>
        </w:tc>
        <w:tc>
          <w:tcPr>
            <w:tcW w:type="dxa" w:w="508"/>
            <w:tcBorders>
              <w:top w:val="single" w:color="000000" w:sz="8" w:space="0" w:shadow="0" w:frame="0"/>
              <w:left w:val="nil"/>
              <w:bottom w:val="nil"/>
              <w:right w:val="nil"/>
            </w:tcBorders>
            <w:shd w:val="clear" w:color="auto" w:fill="auto"/>
            <w:tcMar>
              <w:top w:type="dxa" w:w="80"/>
              <w:left w:type="dxa" w:w="80"/>
              <w:bottom w:type="dxa" w:w="80"/>
              <w:right w:type="dxa" w:w="80"/>
            </w:tcMar>
            <w:vAlign w:val="bottom"/>
          </w:tcPr>
          <w:p/>
        </w:tc>
        <w:tc>
          <w:tcPr>
            <w:tcW w:type="dxa" w:w="1061"/>
            <w:tcBorders>
              <w:top w:val="single" w:color="000000" w:sz="8" w:space="0" w:shadow="0" w:frame="0"/>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pPr>
            <w:r>
              <w:rPr>
                <w:color w:val="1f497d"/>
                <w:sz w:val="24"/>
                <w:szCs w:val="24"/>
                <w:u w:color="1f497d"/>
                <w:rtl w:val="0"/>
                <w:lang w:val="it-IT"/>
              </w:rPr>
              <w:t> </w:t>
            </w:r>
          </w:p>
        </w:tc>
      </w:tr>
      <w:tr>
        <w:tblPrEx>
          <w:shd w:val="clear" w:color="auto" w:fill="ced7e7"/>
        </w:tblPrEx>
        <w:trPr>
          <w:trHeight w:val="300" w:hRule="atLeast"/>
        </w:trPr>
        <w:tc>
          <w:tcPr>
            <w:tcW w:type="dxa" w:w="310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pPr>
              <w:pStyle w:val="Normale"/>
              <w:spacing w:after="0" w:line="240" w:lineRule="auto"/>
            </w:pPr>
            <w:r>
              <w:rPr>
                <w:color w:val="1f497d"/>
                <w:sz w:val="24"/>
                <w:szCs w:val="24"/>
                <w:u w:color="1f497d"/>
                <w:rtl w:val="0"/>
                <w:lang w:val="it-IT"/>
              </w:rPr>
              <w:t>Germania</w:t>
            </w:r>
          </w:p>
        </w:tc>
        <w:tc>
          <w:tcPr>
            <w:tcW w:type="dxa" w:w="508"/>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1f497d"/>
                <w:sz w:val="24"/>
                <w:szCs w:val="24"/>
                <w:u w:color="1f497d"/>
                <w:rtl w:val="0"/>
                <w:lang w:val="it-IT"/>
              </w:rPr>
              <w:t>24</w:t>
            </w:r>
          </w:p>
        </w:tc>
        <w:tc>
          <w:tcPr>
            <w:tcW w:type="dxa" w:w="1061"/>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pPr>
            <w:r>
              <w:rPr>
                <w:color w:val="1f497d"/>
                <w:sz w:val="24"/>
                <w:szCs w:val="24"/>
                <w:u w:color="1f497d"/>
                <w:rtl w:val="0"/>
                <w:lang w:val="it-IT"/>
              </w:rPr>
              <w:t> </w:t>
            </w:r>
          </w:p>
        </w:tc>
      </w:tr>
      <w:tr>
        <w:tblPrEx>
          <w:shd w:val="clear" w:color="auto" w:fill="ced7e7"/>
        </w:tblPrEx>
        <w:trPr>
          <w:trHeight w:val="300" w:hRule="atLeast"/>
        </w:trPr>
        <w:tc>
          <w:tcPr>
            <w:tcW w:type="dxa" w:w="310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pPr>
              <w:pStyle w:val="Normale"/>
              <w:spacing w:after="0" w:line="240" w:lineRule="auto"/>
            </w:pPr>
            <w:r>
              <w:rPr>
                <w:color w:val="1f497d"/>
                <w:sz w:val="24"/>
                <w:szCs w:val="24"/>
                <w:u w:color="1f497d"/>
                <w:rtl w:val="0"/>
                <w:lang w:val="it-IT"/>
              </w:rPr>
              <w:t>Regno Unito (Sc)</w:t>
            </w:r>
          </w:p>
        </w:tc>
        <w:tc>
          <w:tcPr>
            <w:tcW w:type="dxa" w:w="508"/>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1f497d"/>
                <w:sz w:val="24"/>
                <w:szCs w:val="24"/>
                <w:u w:color="1f497d"/>
                <w:rtl w:val="0"/>
                <w:lang w:val="it-IT"/>
              </w:rPr>
              <w:t>23</w:t>
            </w:r>
          </w:p>
        </w:tc>
        <w:tc>
          <w:tcPr>
            <w:tcW w:type="dxa" w:w="1061"/>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pPr>
            <w:r>
              <w:rPr>
                <w:color w:val="1f497d"/>
                <w:sz w:val="24"/>
                <w:szCs w:val="24"/>
                <w:u w:color="1f497d"/>
                <w:rtl w:val="0"/>
                <w:lang w:val="it-IT"/>
              </w:rPr>
              <w:t> </w:t>
            </w:r>
          </w:p>
        </w:tc>
      </w:tr>
      <w:tr>
        <w:tblPrEx>
          <w:shd w:val="clear" w:color="auto" w:fill="ced7e7"/>
        </w:tblPrEx>
        <w:trPr>
          <w:trHeight w:val="300" w:hRule="atLeast"/>
        </w:trPr>
        <w:tc>
          <w:tcPr>
            <w:tcW w:type="dxa" w:w="310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pPr>
              <w:pStyle w:val="Normale"/>
              <w:spacing w:after="0" w:line="240" w:lineRule="auto"/>
            </w:pPr>
            <w:r>
              <w:rPr>
                <w:color w:val="1f497d"/>
                <w:sz w:val="24"/>
                <w:szCs w:val="24"/>
                <w:u w:color="1f497d"/>
                <w:rtl w:val="0"/>
                <w:lang w:val="it-IT"/>
              </w:rPr>
              <w:t>Bulgaria</w:t>
            </w:r>
          </w:p>
        </w:tc>
        <w:tc>
          <w:tcPr>
            <w:tcW w:type="dxa" w:w="508"/>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1f497d"/>
                <w:sz w:val="24"/>
                <w:szCs w:val="24"/>
                <w:u w:color="1f497d"/>
                <w:rtl w:val="0"/>
                <w:lang w:val="it-IT"/>
              </w:rPr>
              <w:t>22</w:t>
            </w:r>
          </w:p>
        </w:tc>
        <w:tc>
          <w:tcPr>
            <w:tcW w:type="dxa" w:w="1061"/>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pPr>
            <w:r>
              <w:rPr>
                <w:color w:val="1f497d"/>
                <w:sz w:val="24"/>
                <w:szCs w:val="24"/>
                <w:u w:color="1f497d"/>
                <w:rtl w:val="0"/>
                <w:lang w:val="it-IT"/>
              </w:rPr>
              <w:t> </w:t>
            </w:r>
          </w:p>
        </w:tc>
      </w:tr>
      <w:tr>
        <w:tblPrEx>
          <w:shd w:val="clear" w:color="auto" w:fill="ced7e7"/>
        </w:tblPrEx>
        <w:trPr>
          <w:trHeight w:val="300" w:hRule="atLeast"/>
        </w:trPr>
        <w:tc>
          <w:tcPr>
            <w:tcW w:type="dxa" w:w="310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pPr>
              <w:pStyle w:val="Normale"/>
              <w:spacing w:after="0" w:line="240" w:lineRule="auto"/>
            </w:pPr>
            <w:r>
              <w:rPr>
                <w:color w:val="1f497d"/>
                <w:sz w:val="24"/>
                <w:szCs w:val="24"/>
                <w:u w:color="1f497d"/>
                <w:rtl w:val="0"/>
                <w:lang w:val="it-IT"/>
              </w:rPr>
              <w:t>Ungheria</w:t>
            </w:r>
          </w:p>
        </w:tc>
        <w:tc>
          <w:tcPr>
            <w:tcW w:type="dxa" w:w="508"/>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1f497d"/>
                <w:sz w:val="24"/>
                <w:szCs w:val="24"/>
                <w:u w:color="1f497d"/>
                <w:rtl w:val="0"/>
                <w:lang w:val="it-IT"/>
              </w:rPr>
              <w:t>22</w:t>
            </w:r>
          </w:p>
        </w:tc>
        <w:tc>
          <w:tcPr>
            <w:tcW w:type="dxa" w:w="1061"/>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pPr>
            <w:r>
              <w:rPr>
                <w:color w:val="1f497d"/>
                <w:sz w:val="24"/>
                <w:szCs w:val="24"/>
                <w:u w:color="1f497d"/>
                <w:rtl w:val="0"/>
                <w:lang w:val="it-IT"/>
              </w:rPr>
              <w:t> </w:t>
            </w:r>
          </w:p>
        </w:tc>
      </w:tr>
      <w:tr>
        <w:tblPrEx>
          <w:shd w:val="clear" w:color="auto" w:fill="ced7e7"/>
        </w:tblPrEx>
        <w:trPr>
          <w:trHeight w:val="300" w:hRule="atLeast"/>
        </w:trPr>
        <w:tc>
          <w:tcPr>
            <w:tcW w:type="dxa" w:w="310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pPr>
              <w:pStyle w:val="Normale"/>
              <w:spacing w:after="0" w:line="240" w:lineRule="auto"/>
            </w:pPr>
            <w:r>
              <w:rPr>
                <w:color w:val="1f497d"/>
                <w:sz w:val="24"/>
                <w:szCs w:val="24"/>
                <w:u w:color="1f497d"/>
                <w:rtl w:val="0"/>
                <w:lang w:val="it-IT"/>
              </w:rPr>
              <w:t>Danimarca</w:t>
            </w:r>
          </w:p>
        </w:tc>
        <w:tc>
          <w:tcPr>
            <w:tcW w:type="dxa" w:w="508"/>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1f497d"/>
                <w:sz w:val="24"/>
                <w:szCs w:val="24"/>
                <w:u w:color="1f497d"/>
                <w:rtl w:val="0"/>
                <w:lang w:val="it-IT"/>
              </w:rPr>
              <w:t>22</w:t>
            </w:r>
          </w:p>
        </w:tc>
        <w:tc>
          <w:tcPr>
            <w:tcW w:type="dxa" w:w="1061"/>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pPr>
            <w:r>
              <w:rPr>
                <w:color w:val="1f497d"/>
                <w:sz w:val="24"/>
                <w:szCs w:val="24"/>
                <w:u w:color="1f497d"/>
                <w:rtl w:val="0"/>
                <w:lang w:val="it-IT"/>
              </w:rPr>
              <w:t> </w:t>
            </w:r>
          </w:p>
        </w:tc>
      </w:tr>
      <w:tr>
        <w:tblPrEx>
          <w:shd w:val="clear" w:color="auto" w:fill="ced7e7"/>
        </w:tblPrEx>
        <w:trPr>
          <w:trHeight w:val="300" w:hRule="atLeast"/>
        </w:trPr>
        <w:tc>
          <w:tcPr>
            <w:tcW w:type="dxa" w:w="310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pPr>
              <w:pStyle w:val="Normale"/>
              <w:spacing w:after="0" w:line="240" w:lineRule="auto"/>
            </w:pPr>
            <w:r>
              <w:rPr>
                <w:color w:val="1f497d"/>
                <w:sz w:val="24"/>
                <w:szCs w:val="24"/>
                <w:u w:color="1f497d"/>
                <w:rtl w:val="0"/>
                <w:lang w:val="it-IT"/>
              </w:rPr>
              <w:t>Irlanda</w:t>
            </w:r>
          </w:p>
        </w:tc>
        <w:tc>
          <w:tcPr>
            <w:tcW w:type="dxa" w:w="508"/>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1f497d"/>
                <w:sz w:val="24"/>
                <w:szCs w:val="24"/>
                <w:u w:color="1f497d"/>
                <w:rtl w:val="0"/>
                <w:lang w:val="it-IT"/>
              </w:rPr>
              <w:t>22</w:t>
            </w:r>
          </w:p>
        </w:tc>
        <w:tc>
          <w:tcPr>
            <w:tcW w:type="dxa" w:w="1061"/>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pPr>
            <w:r>
              <w:rPr>
                <w:color w:val="1f497d"/>
                <w:sz w:val="24"/>
                <w:szCs w:val="24"/>
                <w:u w:color="1f497d"/>
                <w:rtl w:val="0"/>
                <w:lang w:val="it-IT"/>
              </w:rPr>
              <w:t> </w:t>
            </w:r>
          </w:p>
        </w:tc>
      </w:tr>
      <w:tr>
        <w:tblPrEx>
          <w:shd w:val="clear" w:color="auto" w:fill="ced7e7"/>
        </w:tblPrEx>
        <w:trPr>
          <w:trHeight w:val="300" w:hRule="atLeast"/>
        </w:trPr>
        <w:tc>
          <w:tcPr>
            <w:tcW w:type="dxa" w:w="310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pPr>
              <w:pStyle w:val="Normale"/>
              <w:spacing w:after="0" w:line="240" w:lineRule="auto"/>
            </w:pPr>
            <w:r>
              <w:rPr>
                <w:color w:val="1f497d"/>
                <w:sz w:val="24"/>
                <w:szCs w:val="24"/>
                <w:u w:color="1f497d"/>
                <w:rtl w:val="0"/>
                <w:lang w:val="it-IT"/>
              </w:rPr>
              <w:t>Portogallo</w:t>
            </w:r>
          </w:p>
        </w:tc>
        <w:tc>
          <w:tcPr>
            <w:tcW w:type="dxa" w:w="508"/>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1f497d"/>
                <w:sz w:val="24"/>
                <w:szCs w:val="24"/>
                <w:u w:color="1f497d"/>
                <w:rtl w:val="0"/>
                <w:lang w:val="it-IT"/>
              </w:rPr>
              <w:t>22</w:t>
            </w:r>
          </w:p>
        </w:tc>
        <w:tc>
          <w:tcPr>
            <w:tcW w:type="dxa" w:w="1061"/>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pPr>
            <w:r>
              <w:rPr>
                <w:color w:val="1f497d"/>
                <w:sz w:val="24"/>
                <w:szCs w:val="24"/>
                <w:u w:color="1f497d"/>
                <w:rtl w:val="0"/>
                <w:lang w:val="it-IT"/>
              </w:rPr>
              <w:t> </w:t>
            </w:r>
          </w:p>
        </w:tc>
      </w:tr>
      <w:tr>
        <w:tblPrEx>
          <w:shd w:val="clear" w:color="auto" w:fill="ced7e7"/>
        </w:tblPrEx>
        <w:trPr>
          <w:trHeight w:val="300" w:hRule="atLeast"/>
        </w:trPr>
        <w:tc>
          <w:tcPr>
            <w:tcW w:type="dxa" w:w="310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pPr>
              <w:pStyle w:val="Normale"/>
              <w:spacing w:after="0" w:line="240" w:lineRule="auto"/>
            </w:pPr>
            <w:r>
              <w:rPr>
                <w:color w:val="1f497d"/>
                <w:sz w:val="24"/>
                <w:szCs w:val="24"/>
                <w:u w:color="1f497d"/>
                <w:rtl w:val="0"/>
                <w:lang w:val="it-IT"/>
              </w:rPr>
              <w:t>Slovacchia</w:t>
            </w:r>
          </w:p>
        </w:tc>
        <w:tc>
          <w:tcPr>
            <w:tcW w:type="dxa" w:w="508"/>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1f497d"/>
                <w:sz w:val="24"/>
                <w:szCs w:val="24"/>
                <w:u w:color="1f497d"/>
                <w:rtl w:val="0"/>
                <w:lang w:val="it-IT"/>
              </w:rPr>
              <w:t>22</w:t>
            </w:r>
          </w:p>
        </w:tc>
        <w:tc>
          <w:tcPr>
            <w:tcW w:type="dxa" w:w="1061"/>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pPr>
            <w:r>
              <w:rPr>
                <w:color w:val="1f497d"/>
                <w:sz w:val="24"/>
                <w:szCs w:val="24"/>
                <w:u w:color="1f497d"/>
                <w:rtl w:val="0"/>
                <w:lang w:val="it-IT"/>
              </w:rPr>
              <w:t> </w:t>
            </w:r>
          </w:p>
        </w:tc>
      </w:tr>
      <w:tr>
        <w:tblPrEx>
          <w:shd w:val="clear" w:color="auto" w:fill="ced7e7"/>
        </w:tblPrEx>
        <w:trPr>
          <w:trHeight w:val="300" w:hRule="atLeast"/>
        </w:trPr>
        <w:tc>
          <w:tcPr>
            <w:tcW w:type="dxa" w:w="310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pPr>
              <w:pStyle w:val="Normale"/>
              <w:spacing w:after="0" w:line="240" w:lineRule="auto"/>
            </w:pPr>
            <w:r>
              <w:rPr>
                <w:color w:val="1f497d"/>
                <w:sz w:val="24"/>
                <w:szCs w:val="24"/>
                <w:u w:color="1f497d"/>
                <w:rtl w:val="0"/>
                <w:lang w:val="it-IT"/>
              </w:rPr>
              <w:t>Lettonia</w:t>
            </w:r>
          </w:p>
        </w:tc>
        <w:tc>
          <w:tcPr>
            <w:tcW w:type="dxa" w:w="508"/>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1f497d"/>
                <w:sz w:val="24"/>
                <w:szCs w:val="24"/>
                <w:u w:color="1f497d"/>
                <w:rtl w:val="0"/>
                <w:lang w:val="it-IT"/>
              </w:rPr>
              <w:t>21</w:t>
            </w:r>
          </w:p>
        </w:tc>
        <w:tc>
          <w:tcPr>
            <w:tcW w:type="dxa" w:w="1061"/>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pPr>
            <w:r>
              <w:rPr>
                <w:color w:val="1f497d"/>
                <w:sz w:val="24"/>
                <w:szCs w:val="24"/>
                <w:u w:color="1f497d"/>
                <w:rtl w:val="0"/>
                <w:lang w:val="it-IT"/>
              </w:rPr>
              <w:t> </w:t>
            </w:r>
          </w:p>
        </w:tc>
      </w:tr>
      <w:tr>
        <w:tblPrEx>
          <w:shd w:val="clear" w:color="auto" w:fill="ced7e7"/>
        </w:tblPrEx>
        <w:trPr>
          <w:trHeight w:val="300" w:hRule="atLeast"/>
        </w:trPr>
        <w:tc>
          <w:tcPr>
            <w:tcW w:type="dxa" w:w="310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pPr>
              <w:pStyle w:val="Normale"/>
              <w:spacing w:after="0" w:line="240" w:lineRule="auto"/>
            </w:pPr>
            <w:r>
              <w:rPr>
                <w:color w:val="1f497d"/>
                <w:sz w:val="24"/>
                <w:szCs w:val="24"/>
                <w:u w:color="1f497d"/>
                <w:rtl w:val="0"/>
                <w:lang w:val="it-IT"/>
              </w:rPr>
              <w:t>Grecia</w:t>
            </w:r>
          </w:p>
        </w:tc>
        <w:tc>
          <w:tcPr>
            <w:tcW w:type="dxa" w:w="508"/>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1f497d"/>
                <w:sz w:val="24"/>
                <w:szCs w:val="24"/>
                <w:u w:color="1f497d"/>
                <w:rtl w:val="0"/>
                <w:lang w:val="it-IT"/>
              </w:rPr>
              <w:t>20</w:t>
            </w:r>
          </w:p>
        </w:tc>
        <w:tc>
          <w:tcPr>
            <w:tcW w:type="dxa" w:w="1061"/>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pPr>
            <w:r>
              <w:rPr>
                <w:color w:val="1f497d"/>
                <w:sz w:val="24"/>
                <w:szCs w:val="24"/>
                <w:u w:color="1f497d"/>
                <w:rtl w:val="0"/>
                <w:lang w:val="it-IT"/>
              </w:rPr>
              <w:t> </w:t>
            </w:r>
          </w:p>
        </w:tc>
      </w:tr>
      <w:tr>
        <w:tblPrEx>
          <w:shd w:val="clear" w:color="auto" w:fill="ced7e7"/>
        </w:tblPrEx>
        <w:trPr>
          <w:trHeight w:val="300" w:hRule="atLeast"/>
        </w:trPr>
        <w:tc>
          <w:tcPr>
            <w:tcW w:type="dxa" w:w="310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pPr>
              <w:pStyle w:val="Normale"/>
              <w:spacing w:after="0" w:line="240" w:lineRule="auto"/>
            </w:pPr>
            <w:r>
              <w:rPr>
                <w:color w:val="1f497d"/>
                <w:sz w:val="24"/>
                <w:szCs w:val="24"/>
                <w:u w:color="1f497d"/>
                <w:rtl w:val="0"/>
                <w:lang w:val="it-IT"/>
              </w:rPr>
              <w:t>Spagna</w:t>
            </w:r>
          </w:p>
        </w:tc>
        <w:tc>
          <w:tcPr>
            <w:tcW w:type="dxa" w:w="508"/>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1f497d"/>
                <w:sz w:val="24"/>
                <w:szCs w:val="24"/>
                <w:u w:color="1f497d"/>
                <w:rtl w:val="0"/>
                <w:lang w:val="it-IT"/>
              </w:rPr>
              <w:t>20</w:t>
            </w:r>
          </w:p>
        </w:tc>
        <w:tc>
          <w:tcPr>
            <w:tcW w:type="dxa" w:w="1061"/>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pPr>
            <w:r>
              <w:rPr>
                <w:color w:val="1f497d"/>
                <w:sz w:val="24"/>
                <w:szCs w:val="24"/>
                <w:u w:color="1f497d"/>
                <w:rtl w:val="0"/>
                <w:lang w:val="it-IT"/>
              </w:rPr>
              <w:t> </w:t>
            </w:r>
          </w:p>
        </w:tc>
      </w:tr>
      <w:tr>
        <w:tblPrEx>
          <w:shd w:val="clear" w:color="auto" w:fill="ced7e7"/>
        </w:tblPrEx>
        <w:trPr>
          <w:trHeight w:val="300" w:hRule="atLeast"/>
        </w:trPr>
        <w:tc>
          <w:tcPr>
            <w:tcW w:type="dxa" w:w="310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pPr>
              <w:pStyle w:val="Normale"/>
              <w:spacing w:after="0" w:line="240" w:lineRule="auto"/>
            </w:pPr>
            <w:r>
              <w:rPr>
                <w:color w:val="1f497d"/>
                <w:sz w:val="24"/>
                <w:szCs w:val="24"/>
                <w:u w:color="1f497d"/>
                <w:rtl w:val="0"/>
                <w:lang w:val="it-IT"/>
              </w:rPr>
              <w:t>Olanda</w:t>
            </w:r>
          </w:p>
        </w:tc>
        <w:tc>
          <w:tcPr>
            <w:tcW w:type="dxa" w:w="508"/>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1f497d"/>
                <w:sz w:val="24"/>
                <w:szCs w:val="24"/>
                <w:u w:color="1f497d"/>
                <w:rtl w:val="0"/>
                <w:lang w:val="it-IT"/>
              </w:rPr>
              <w:t>20</w:t>
            </w:r>
          </w:p>
        </w:tc>
        <w:tc>
          <w:tcPr>
            <w:tcW w:type="dxa" w:w="1061"/>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pPr>
            <w:r>
              <w:rPr>
                <w:color w:val="1f497d"/>
                <w:sz w:val="24"/>
                <w:szCs w:val="24"/>
                <w:u w:color="1f497d"/>
                <w:rtl w:val="0"/>
                <w:lang w:val="it-IT"/>
              </w:rPr>
              <w:t> </w:t>
            </w:r>
          </w:p>
        </w:tc>
      </w:tr>
      <w:tr>
        <w:tblPrEx>
          <w:shd w:val="clear" w:color="auto" w:fill="ced7e7"/>
        </w:tblPrEx>
        <w:trPr>
          <w:trHeight w:val="300" w:hRule="atLeast"/>
        </w:trPr>
        <w:tc>
          <w:tcPr>
            <w:tcW w:type="dxa" w:w="310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pPr>
              <w:pStyle w:val="Normale"/>
              <w:spacing w:after="0" w:line="240" w:lineRule="auto"/>
            </w:pPr>
            <w:r>
              <w:rPr>
                <w:color w:val="1f497d"/>
                <w:sz w:val="24"/>
                <w:szCs w:val="24"/>
                <w:u w:color="1f497d"/>
                <w:rtl w:val="0"/>
                <w:lang w:val="it-IT"/>
              </w:rPr>
              <w:t>Belgio (media)</w:t>
            </w:r>
          </w:p>
        </w:tc>
        <w:tc>
          <w:tcPr>
            <w:tcW w:type="dxa" w:w="508"/>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1f497d"/>
                <w:sz w:val="24"/>
                <w:szCs w:val="24"/>
                <w:u w:color="1f497d"/>
                <w:rtl w:val="0"/>
                <w:lang w:val="it-IT"/>
              </w:rPr>
              <w:t>19</w:t>
            </w:r>
          </w:p>
        </w:tc>
        <w:tc>
          <w:tcPr>
            <w:tcW w:type="dxa" w:w="1061"/>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pPr>
            <w:r>
              <w:rPr>
                <w:color w:val="1f497d"/>
                <w:sz w:val="24"/>
                <w:szCs w:val="24"/>
                <w:u w:color="1f497d"/>
                <w:rtl w:val="0"/>
                <w:lang w:val="it-IT"/>
              </w:rPr>
              <w:t> </w:t>
            </w:r>
          </w:p>
        </w:tc>
      </w:tr>
      <w:tr>
        <w:tblPrEx>
          <w:shd w:val="clear" w:color="auto" w:fill="ced7e7"/>
        </w:tblPrEx>
        <w:trPr>
          <w:trHeight w:val="300" w:hRule="atLeast"/>
        </w:trPr>
        <w:tc>
          <w:tcPr>
            <w:tcW w:type="dxa" w:w="310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pPr>
              <w:pStyle w:val="Normale"/>
              <w:spacing w:after="0" w:line="240" w:lineRule="auto"/>
            </w:pPr>
            <w:r>
              <w:rPr>
                <w:b w:val="1"/>
                <w:bCs w:val="1"/>
                <w:color w:val="1f497d"/>
                <w:sz w:val="24"/>
                <w:szCs w:val="24"/>
                <w:u w:color="1f497d"/>
                <w:rtl w:val="0"/>
                <w:lang w:val="it-IT"/>
              </w:rPr>
              <w:t>Italia</w:t>
            </w:r>
          </w:p>
        </w:tc>
        <w:tc>
          <w:tcPr>
            <w:tcW w:type="dxa" w:w="508"/>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b w:val="1"/>
                <w:bCs w:val="1"/>
                <w:color w:val="1f497d"/>
                <w:sz w:val="24"/>
                <w:szCs w:val="24"/>
                <w:u w:color="1f497d"/>
                <w:rtl w:val="0"/>
                <w:lang w:val="it-IT"/>
              </w:rPr>
              <w:t>18</w:t>
            </w:r>
          </w:p>
        </w:tc>
        <w:tc>
          <w:tcPr>
            <w:tcW w:type="dxa" w:w="1061"/>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pPr>
            <w:r>
              <w:rPr>
                <w:color w:val="1f497d"/>
                <w:sz w:val="24"/>
                <w:szCs w:val="24"/>
                <w:u w:color="1f497d"/>
                <w:rtl w:val="0"/>
                <w:lang w:val="it-IT"/>
              </w:rPr>
              <w:t> </w:t>
            </w:r>
          </w:p>
        </w:tc>
      </w:tr>
      <w:tr>
        <w:tblPrEx>
          <w:shd w:val="clear" w:color="auto" w:fill="ced7e7"/>
        </w:tblPrEx>
        <w:trPr>
          <w:trHeight w:val="300" w:hRule="atLeast"/>
        </w:trPr>
        <w:tc>
          <w:tcPr>
            <w:tcW w:type="dxa" w:w="310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pPr>
              <w:pStyle w:val="Normale"/>
              <w:spacing w:after="0" w:line="240" w:lineRule="auto"/>
            </w:pPr>
            <w:r>
              <w:rPr>
                <w:color w:val="1f497d"/>
                <w:sz w:val="24"/>
                <w:szCs w:val="24"/>
                <w:u w:color="1f497d"/>
                <w:rtl w:val="0"/>
                <w:lang w:val="it-IT"/>
              </w:rPr>
              <w:t>Cipro</w:t>
            </w:r>
          </w:p>
        </w:tc>
        <w:tc>
          <w:tcPr>
            <w:tcW w:type="dxa" w:w="508"/>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1f497d"/>
                <w:sz w:val="24"/>
                <w:szCs w:val="24"/>
                <w:u w:color="1f497d"/>
                <w:rtl w:val="0"/>
                <w:lang w:val="it-IT"/>
              </w:rPr>
              <w:t>18</w:t>
            </w:r>
          </w:p>
        </w:tc>
        <w:tc>
          <w:tcPr>
            <w:tcW w:type="dxa" w:w="1061"/>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pPr>
            <w:r>
              <w:rPr>
                <w:color w:val="1f497d"/>
                <w:sz w:val="24"/>
                <w:szCs w:val="24"/>
                <w:u w:color="1f497d"/>
                <w:rtl w:val="0"/>
                <w:lang w:val="it-IT"/>
              </w:rPr>
              <w:t> </w:t>
            </w:r>
          </w:p>
        </w:tc>
      </w:tr>
      <w:tr>
        <w:tblPrEx>
          <w:shd w:val="clear" w:color="auto" w:fill="ced7e7"/>
        </w:tblPrEx>
        <w:trPr>
          <w:trHeight w:val="300" w:hRule="atLeast"/>
        </w:trPr>
        <w:tc>
          <w:tcPr>
            <w:tcW w:type="dxa" w:w="310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pPr>
              <w:pStyle w:val="Normale"/>
              <w:spacing w:after="0" w:line="240" w:lineRule="auto"/>
            </w:pPr>
            <w:r>
              <w:rPr>
                <w:color w:val="1f497d"/>
                <w:sz w:val="24"/>
                <w:szCs w:val="24"/>
                <w:u w:color="1f497d"/>
                <w:rtl w:val="0"/>
                <w:lang w:val="it-IT"/>
              </w:rPr>
              <w:t>Lituania</w:t>
            </w:r>
          </w:p>
        </w:tc>
        <w:tc>
          <w:tcPr>
            <w:tcW w:type="dxa" w:w="508"/>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1f497d"/>
                <w:sz w:val="24"/>
                <w:szCs w:val="24"/>
                <w:u w:color="1f497d"/>
                <w:rtl w:val="0"/>
                <w:lang w:val="it-IT"/>
              </w:rPr>
              <w:t>18</w:t>
            </w:r>
          </w:p>
        </w:tc>
        <w:tc>
          <w:tcPr>
            <w:tcW w:type="dxa" w:w="1061"/>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pPr>
            <w:r>
              <w:rPr>
                <w:color w:val="1f497d"/>
                <w:sz w:val="24"/>
                <w:szCs w:val="24"/>
                <w:u w:color="1f497d"/>
                <w:rtl w:val="0"/>
                <w:lang w:val="it-IT"/>
              </w:rPr>
              <w:t> </w:t>
            </w:r>
          </w:p>
        </w:tc>
      </w:tr>
      <w:tr>
        <w:tblPrEx>
          <w:shd w:val="clear" w:color="auto" w:fill="ced7e7"/>
        </w:tblPrEx>
        <w:trPr>
          <w:trHeight w:val="300" w:hRule="atLeast"/>
        </w:trPr>
        <w:tc>
          <w:tcPr>
            <w:tcW w:type="dxa" w:w="310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pPr>
              <w:pStyle w:val="Normale"/>
              <w:spacing w:after="0" w:line="240" w:lineRule="auto"/>
            </w:pPr>
            <w:r>
              <w:rPr>
                <w:color w:val="1f497d"/>
                <w:sz w:val="24"/>
                <w:szCs w:val="24"/>
                <w:u w:color="1f497d"/>
                <w:rtl w:val="0"/>
                <w:lang w:val="it-IT"/>
              </w:rPr>
              <w:t>Lussemburgo</w:t>
            </w:r>
          </w:p>
        </w:tc>
        <w:tc>
          <w:tcPr>
            <w:tcW w:type="dxa" w:w="508"/>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1f497d"/>
                <w:sz w:val="24"/>
                <w:szCs w:val="24"/>
                <w:u w:color="1f497d"/>
                <w:rtl w:val="0"/>
                <w:lang w:val="it-IT"/>
              </w:rPr>
              <w:t>18</w:t>
            </w:r>
          </w:p>
        </w:tc>
        <w:tc>
          <w:tcPr>
            <w:tcW w:type="dxa" w:w="1061"/>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pPr>
            <w:r>
              <w:rPr>
                <w:color w:val="1f497d"/>
                <w:sz w:val="24"/>
                <w:szCs w:val="24"/>
                <w:u w:color="1f497d"/>
                <w:rtl w:val="0"/>
                <w:lang w:val="it-IT"/>
              </w:rPr>
              <w:t> </w:t>
            </w:r>
          </w:p>
        </w:tc>
      </w:tr>
      <w:tr>
        <w:tblPrEx>
          <w:shd w:val="clear" w:color="auto" w:fill="ced7e7"/>
        </w:tblPrEx>
        <w:trPr>
          <w:trHeight w:val="300" w:hRule="atLeast"/>
        </w:trPr>
        <w:tc>
          <w:tcPr>
            <w:tcW w:type="dxa" w:w="310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pPr>
              <w:pStyle w:val="Normale"/>
              <w:spacing w:after="0" w:line="240" w:lineRule="auto"/>
            </w:pPr>
            <w:r>
              <w:rPr>
                <w:color w:val="1f497d"/>
                <w:sz w:val="24"/>
                <w:szCs w:val="24"/>
                <w:u w:color="1f497d"/>
                <w:rtl w:val="0"/>
                <w:lang w:val="it-IT"/>
              </w:rPr>
              <w:t>Romania</w:t>
            </w:r>
          </w:p>
        </w:tc>
        <w:tc>
          <w:tcPr>
            <w:tcW w:type="dxa" w:w="508"/>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1f497d"/>
                <w:sz w:val="24"/>
                <w:szCs w:val="24"/>
                <w:u w:color="1f497d"/>
                <w:rtl w:val="0"/>
                <w:lang w:val="it-IT"/>
              </w:rPr>
              <w:t>18</w:t>
            </w:r>
          </w:p>
        </w:tc>
        <w:tc>
          <w:tcPr>
            <w:tcW w:type="dxa" w:w="1061"/>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pPr>
            <w:r>
              <w:rPr>
                <w:color w:val="1f497d"/>
                <w:sz w:val="24"/>
                <w:szCs w:val="24"/>
                <w:u w:color="1f497d"/>
                <w:rtl w:val="0"/>
                <w:lang w:val="it-IT"/>
              </w:rPr>
              <w:t> </w:t>
            </w:r>
          </w:p>
        </w:tc>
      </w:tr>
      <w:tr>
        <w:tblPrEx>
          <w:shd w:val="clear" w:color="auto" w:fill="ced7e7"/>
        </w:tblPrEx>
        <w:trPr>
          <w:trHeight w:val="300" w:hRule="atLeast"/>
        </w:trPr>
        <w:tc>
          <w:tcPr>
            <w:tcW w:type="dxa" w:w="310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pPr>
              <w:pStyle w:val="Normale"/>
              <w:spacing w:after="0" w:line="240" w:lineRule="auto"/>
            </w:pPr>
            <w:r>
              <w:rPr>
                <w:color w:val="1f497d"/>
                <w:sz w:val="24"/>
                <w:szCs w:val="24"/>
                <w:u w:color="1f497d"/>
                <w:rtl w:val="0"/>
                <w:lang w:val="it-IT"/>
              </w:rPr>
              <w:t>Malta</w:t>
            </w:r>
          </w:p>
        </w:tc>
        <w:tc>
          <w:tcPr>
            <w:tcW w:type="dxa" w:w="508"/>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1f497d"/>
                <w:sz w:val="24"/>
                <w:szCs w:val="24"/>
                <w:u w:color="1f497d"/>
                <w:rtl w:val="0"/>
                <w:lang w:val="it-IT"/>
              </w:rPr>
              <w:t>17</w:t>
            </w:r>
          </w:p>
        </w:tc>
        <w:tc>
          <w:tcPr>
            <w:tcW w:type="dxa" w:w="1061"/>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pPr>
            <w:r>
              <w:rPr>
                <w:color w:val="1f497d"/>
                <w:sz w:val="24"/>
                <w:szCs w:val="24"/>
                <w:u w:color="1f497d"/>
                <w:rtl w:val="0"/>
                <w:lang w:val="it-IT"/>
              </w:rPr>
              <w:t> </w:t>
            </w:r>
          </w:p>
        </w:tc>
      </w:tr>
      <w:tr>
        <w:tblPrEx>
          <w:shd w:val="clear" w:color="auto" w:fill="ced7e7"/>
        </w:tblPrEx>
        <w:trPr>
          <w:trHeight w:val="300" w:hRule="atLeast"/>
        </w:trPr>
        <w:tc>
          <w:tcPr>
            <w:tcW w:type="dxa" w:w="310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pPr>
              <w:pStyle w:val="Normale"/>
              <w:spacing w:after="0" w:line="240" w:lineRule="auto"/>
            </w:pPr>
            <w:r>
              <w:rPr>
                <w:color w:val="1f497d"/>
                <w:sz w:val="24"/>
                <w:szCs w:val="24"/>
                <w:u w:color="1f497d"/>
                <w:rtl w:val="0"/>
                <w:lang w:val="it-IT"/>
              </w:rPr>
              <w:t>Austria</w:t>
            </w:r>
          </w:p>
        </w:tc>
        <w:tc>
          <w:tcPr>
            <w:tcW w:type="dxa" w:w="508"/>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1f497d"/>
                <w:sz w:val="24"/>
                <w:szCs w:val="24"/>
                <w:u w:color="1f497d"/>
                <w:rtl w:val="0"/>
                <w:lang w:val="it-IT"/>
              </w:rPr>
              <w:t>17</w:t>
            </w:r>
          </w:p>
        </w:tc>
        <w:tc>
          <w:tcPr>
            <w:tcW w:type="dxa" w:w="1061"/>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pPr>
            <w:r>
              <w:rPr>
                <w:color w:val="1f497d"/>
                <w:sz w:val="24"/>
                <w:szCs w:val="24"/>
                <w:u w:color="1f497d"/>
                <w:rtl w:val="0"/>
                <w:lang w:val="it-IT"/>
              </w:rPr>
              <w:t> </w:t>
            </w:r>
          </w:p>
        </w:tc>
      </w:tr>
      <w:tr>
        <w:tblPrEx>
          <w:shd w:val="clear" w:color="auto" w:fill="ced7e7"/>
        </w:tblPrEx>
        <w:trPr>
          <w:trHeight w:val="300" w:hRule="atLeast"/>
        </w:trPr>
        <w:tc>
          <w:tcPr>
            <w:tcW w:type="dxa" w:w="310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pPr>
              <w:pStyle w:val="Normale"/>
              <w:spacing w:after="0" w:line="240" w:lineRule="auto"/>
            </w:pPr>
            <w:r>
              <w:rPr>
                <w:color w:val="1f497d"/>
                <w:sz w:val="24"/>
                <w:szCs w:val="24"/>
                <w:u w:color="1f497d"/>
                <w:rtl w:val="0"/>
                <w:lang w:val="it-IT"/>
              </w:rPr>
              <w:t>Rep Ceca</w:t>
            </w:r>
          </w:p>
        </w:tc>
        <w:tc>
          <w:tcPr>
            <w:tcW w:type="dxa" w:w="508"/>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1f497d"/>
                <w:sz w:val="24"/>
                <w:szCs w:val="24"/>
                <w:u w:color="1f497d"/>
                <w:rtl w:val="0"/>
                <w:lang w:val="it-IT"/>
              </w:rPr>
              <w:t>17</w:t>
            </w:r>
          </w:p>
        </w:tc>
        <w:tc>
          <w:tcPr>
            <w:tcW w:type="dxa" w:w="1061"/>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pPr>
            <w:r>
              <w:rPr>
                <w:color w:val="1f497d"/>
                <w:sz w:val="24"/>
                <w:szCs w:val="24"/>
                <w:u w:color="1f497d"/>
                <w:rtl w:val="0"/>
                <w:lang w:val="it-IT"/>
              </w:rPr>
              <w:t> </w:t>
            </w:r>
          </w:p>
        </w:tc>
      </w:tr>
      <w:tr>
        <w:tblPrEx>
          <w:shd w:val="clear" w:color="auto" w:fill="ced7e7"/>
        </w:tblPrEx>
        <w:trPr>
          <w:trHeight w:val="300" w:hRule="atLeast"/>
        </w:trPr>
        <w:tc>
          <w:tcPr>
            <w:tcW w:type="dxa" w:w="310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pPr>
              <w:pStyle w:val="Normale"/>
              <w:spacing w:after="0" w:line="240" w:lineRule="auto"/>
            </w:pPr>
            <w:r>
              <w:rPr>
                <w:color w:val="1f497d"/>
                <w:sz w:val="24"/>
                <w:szCs w:val="24"/>
                <w:u w:color="1f497d"/>
                <w:rtl w:val="0"/>
                <w:lang w:val="it-IT"/>
              </w:rPr>
              <w:t>Slovenia</w:t>
            </w:r>
          </w:p>
        </w:tc>
        <w:tc>
          <w:tcPr>
            <w:tcW w:type="dxa" w:w="508"/>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1f497d"/>
                <w:sz w:val="24"/>
                <w:szCs w:val="24"/>
                <w:u w:color="1f497d"/>
                <w:rtl w:val="0"/>
                <w:lang w:val="it-IT"/>
              </w:rPr>
              <w:t>16</w:t>
            </w:r>
          </w:p>
        </w:tc>
        <w:tc>
          <w:tcPr>
            <w:tcW w:type="dxa" w:w="1061"/>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pPr>
            <w:r>
              <w:rPr>
                <w:color w:val="1f497d"/>
                <w:sz w:val="24"/>
                <w:szCs w:val="24"/>
                <w:u w:color="1f497d"/>
                <w:rtl w:val="0"/>
                <w:lang w:val="it-IT"/>
              </w:rPr>
              <w:t> </w:t>
            </w:r>
          </w:p>
        </w:tc>
      </w:tr>
      <w:tr>
        <w:tblPrEx>
          <w:shd w:val="clear" w:color="auto" w:fill="ced7e7"/>
        </w:tblPrEx>
        <w:trPr>
          <w:trHeight w:val="300" w:hRule="atLeast"/>
        </w:trPr>
        <w:tc>
          <w:tcPr>
            <w:tcW w:type="dxa" w:w="310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pPr>
              <w:pStyle w:val="Normale"/>
              <w:spacing w:after="0" w:line="240" w:lineRule="auto"/>
            </w:pPr>
            <w:r>
              <w:rPr>
                <w:color w:val="1f497d"/>
                <w:sz w:val="24"/>
                <w:szCs w:val="24"/>
                <w:u w:color="1f497d"/>
                <w:rtl w:val="0"/>
                <w:lang w:val="it-IT"/>
              </w:rPr>
              <w:t>Francia</w:t>
            </w:r>
          </w:p>
        </w:tc>
        <w:tc>
          <w:tcPr>
            <w:tcW w:type="dxa" w:w="508"/>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1f497d"/>
                <w:sz w:val="24"/>
                <w:szCs w:val="24"/>
                <w:u w:color="1f497d"/>
                <w:rtl w:val="0"/>
                <w:lang w:val="it-IT"/>
              </w:rPr>
              <w:t>15</w:t>
            </w:r>
          </w:p>
        </w:tc>
        <w:tc>
          <w:tcPr>
            <w:tcW w:type="dxa" w:w="1061"/>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pPr>
            <w:r>
              <w:rPr>
                <w:color w:val="1f497d"/>
                <w:sz w:val="24"/>
                <w:szCs w:val="24"/>
                <w:u w:color="1f497d"/>
                <w:rtl w:val="0"/>
                <w:lang w:val="it-IT"/>
              </w:rPr>
              <w:t> </w:t>
            </w:r>
          </w:p>
        </w:tc>
      </w:tr>
      <w:tr>
        <w:tblPrEx>
          <w:shd w:val="clear" w:color="auto" w:fill="ced7e7"/>
        </w:tblPrEx>
        <w:trPr>
          <w:trHeight w:val="300" w:hRule="atLeast"/>
        </w:trPr>
        <w:tc>
          <w:tcPr>
            <w:tcW w:type="dxa" w:w="310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pPr>
              <w:pStyle w:val="Normale"/>
              <w:spacing w:after="0" w:line="240" w:lineRule="auto"/>
            </w:pPr>
            <w:r>
              <w:rPr>
                <w:color w:val="1f497d"/>
                <w:sz w:val="24"/>
                <w:szCs w:val="24"/>
                <w:u w:color="1f497d"/>
                <w:rtl w:val="0"/>
                <w:lang w:val="it-IT"/>
              </w:rPr>
              <w:t>Finlandia</w:t>
            </w:r>
          </w:p>
        </w:tc>
        <w:tc>
          <w:tcPr>
            <w:tcW w:type="dxa" w:w="508"/>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1f497d"/>
                <w:sz w:val="24"/>
                <w:szCs w:val="24"/>
                <w:u w:color="1f497d"/>
                <w:rtl w:val="0"/>
                <w:lang w:val="it-IT"/>
              </w:rPr>
              <w:t>14</w:t>
            </w:r>
          </w:p>
        </w:tc>
        <w:tc>
          <w:tcPr>
            <w:tcW w:type="dxa" w:w="1061"/>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pPr>
            <w:r>
              <w:rPr>
                <w:color w:val="1f497d"/>
                <w:sz w:val="24"/>
                <w:szCs w:val="24"/>
                <w:u w:color="1f497d"/>
                <w:rtl w:val="0"/>
                <w:lang w:val="it-IT"/>
              </w:rPr>
              <w:t> </w:t>
            </w:r>
          </w:p>
        </w:tc>
      </w:tr>
      <w:tr>
        <w:tblPrEx>
          <w:shd w:val="clear" w:color="auto" w:fill="ced7e7"/>
        </w:tblPrEx>
        <w:trPr>
          <w:trHeight w:val="300" w:hRule="atLeast"/>
        </w:trPr>
        <w:tc>
          <w:tcPr>
            <w:tcW w:type="dxa" w:w="310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pPr>
              <w:pStyle w:val="Normale"/>
              <w:spacing w:after="0" w:line="240" w:lineRule="auto"/>
            </w:pPr>
            <w:r>
              <w:rPr>
                <w:color w:val="1f497d"/>
                <w:sz w:val="24"/>
                <w:szCs w:val="24"/>
                <w:u w:color="1f497d"/>
                <w:rtl w:val="0"/>
                <w:lang w:val="it-IT"/>
              </w:rPr>
              <w:t>Croazia</w:t>
            </w:r>
          </w:p>
        </w:tc>
        <w:tc>
          <w:tcPr>
            <w:tcW w:type="dxa" w:w="508"/>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1f497d"/>
                <w:sz w:val="24"/>
                <w:szCs w:val="24"/>
                <w:u w:color="1f497d"/>
                <w:rtl w:val="0"/>
                <w:lang w:val="it-IT"/>
              </w:rPr>
              <w:t>14</w:t>
            </w:r>
          </w:p>
        </w:tc>
        <w:tc>
          <w:tcPr>
            <w:tcW w:type="dxa" w:w="1061"/>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pPr>
            <w:r>
              <w:rPr>
                <w:color w:val="1f497d"/>
                <w:sz w:val="24"/>
                <w:szCs w:val="24"/>
                <w:u w:color="1f497d"/>
                <w:rtl w:val="0"/>
                <w:lang w:val="it-IT"/>
              </w:rPr>
              <w:t> </w:t>
            </w:r>
          </w:p>
        </w:tc>
      </w:tr>
      <w:tr>
        <w:tblPrEx>
          <w:shd w:val="clear" w:color="auto" w:fill="ced7e7"/>
        </w:tblPrEx>
        <w:trPr>
          <w:trHeight w:val="300" w:hRule="atLeast"/>
        </w:trPr>
        <w:tc>
          <w:tcPr>
            <w:tcW w:type="dxa" w:w="310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pPr>
              <w:pStyle w:val="Normale"/>
              <w:spacing w:after="0" w:line="240" w:lineRule="auto"/>
            </w:pPr>
            <w:r>
              <w:rPr>
                <w:color w:val="1f497d"/>
                <w:sz w:val="24"/>
                <w:szCs w:val="24"/>
                <w:u w:color="1f497d"/>
                <w:rtl w:val="0"/>
                <w:lang w:val="it-IT"/>
              </w:rPr>
              <w:t>Polonia</w:t>
            </w:r>
          </w:p>
        </w:tc>
        <w:tc>
          <w:tcPr>
            <w:tcW w:type="dxa" w:w="508"/>
            <w:tcBorders>
              <w:top w:val="nil"/>
              <w:left w:val="nil"/>
              <w:bottom w:val="nil"/>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color w:val="1f497d"/>
                <w:sz w:val="24"/>
                <w:szCs w:val="24"/>
                <w:u w:color="1f497d"/>
                <w:rtl w:val="0"/>
                <w:lang w:val="it-IT"/>
              </w:rPr>
              <w:t>14</w:t>
            </w:r>
          </w:p>
        </w:tc>
        <w:tc>
          <w:tcPr>
            <w:tcW w:type="dxa" w:w="1061"/>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pPr>
            <w:r>
              <w:rPr>
                <w:color w:val="1f497d"/>
                <w:sz w:val="24"/>
                <w:szCs w:val="24"/>
                <w:u w:color="1f497d"/>
                <w:rtl w:val="0"/>
                <w:lang w:val="it-IT"/>
              </w:rPr>
              <w:t> </w:t>
            </w:r>
          </w:p>
        </w:tc>
      </w:tr>
      <w:tr>
        <w:tblPrEx>
          <w:shd w:val="clear" w:color="auto" w:fill="ced7e7"/>
        </w:tblPrEx>
        <w:trPr>
          <w:trHeight w:val="300" w:hRule="atLeast"/>
        </w:trPr>
        <w:tc>
          <w:tcPr>
            <w:tcW w:type="dxa" w:w="3100"/>
            <w:tcBorders>
              <w:top w:val="nil"/>
              <w:left w:val="single" w:color="000000" w:sz="8" w:space="0" w:shadow="0" w:frame="0"/>
              <w:bottom w:val="single" w:color="000000" w:sz="8" w:space="0" w:shadow="0" w:frame="0"/>
              <w:right w:val="nil"/>
            </w:tcBorders>
            <w:shd w:val="clear" w:color="auto" w:fill="auto"/>
            <w:tcMar>
              <w:top w:type="dxa" w:w="80"/>
              <w:left w:type="dxa" w:w="80"/>
              <w:bottom w:type="dxa" w:w="80"/>
              <w:right w:type="dxa" w:w="80"/>
            </w:tcMar>
            <w:vAlign w:val="bottom"/>
          </w:tcPr>
          <w:p>
            <w:pPr>
              <w:pStyle w:val="Normale"/>
              <w:spacing w:after="0" w:line="240" w:lineRule="auto"/>
            </w:pPr>
            <w:r>
              <w:rPr>
                <w:b w:val="1"/>
                <w:bCs w:val="1"/>
                <w:color w:val="1f497d"/>
                <w:sz w:val="24"/>
                <w:szCs w:val="24"/>
                <w:u w:color="1f497d"/>
                <w:rtl w:val="0"/>
                <w:lang w:val="it-IT"/>
              </w:rPr>
              <w:t>Media UE</w:t>
            </w:r>
          </w:p>
        </w:tc>
        <w:tc>
          <w:tcPr>
            <w:tcW w:type="dxa" w:w="508"/>
            <w:tcBorders>
              <w:top w:val="nil"/>
              <w:left w:val="nil"/>
              <w:bottom w:val="single" w:color="000000" w:sz="8" w:space="0" w:shadow="0" w:frame="0"/>
              <w:right w:val="nil"/>
            </w:tcBorders>
            <w:shd w:val="clear" w:color="auto" w:fill="auto"/>
            <w:tcMar>
              <w:top w:type="dxa" w:w="80"/>
              <w:left w:type="dxa" w:w="80"/>
              <w:bottom w:type="dxa" w:w="80"/>
              <w:right w:type="dxa" w:w="80"/>
            </w:tcMar>
            <w:vAlign w:val="bottom"/>
          </w:tcPr>
          <w:p>
            <w:pPr>
              <w:pStyle w:val="Normale"/>
              <w:spacing w:after="0" w:line="240" w:lineRule="auto"/>
              <w:jc w:val="right"/>
            </w:pPr>
            <w:r>
              <w:rPr>
                <w:b w:val="1"/>
                <w:bCs w:val="1"/>
                <w:color w:val="1f497d"/>
                <w:sz w:val="24"/>
                <w:szCs w:val="24"/>
                <w:u w:color="1f497d"/>
                <w:rtl w:val="0"/>
                <w:lang w:val="it-IT"/>
              </w:rPr>
              <w:t>19</w:t>
            </w:r>
          </w:p>
        </w:tc>
        <w:tc>
          <w:tcPr>
            <w:tcW w:type="dxa" w:w="1061"/>
            <w:tcBorders>
              <w:top w:val="nil"/>
              <w:left w:val="nil"/>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pPr>
            <w:r>
              <w:rPr>
                <w:color w:val="1f497d"/>
                <w:sz w:val="24"/>
                <w:szCs w:val="24"/>
                <w:u w:color="1f497d"/>
                <w:rtl w:val="0"/>
                <w:lang w:val="it-IT"/>
              </w:rPr>
              <w:t> </w:t>
            </w:r>
          </w:p>
        </w:tc>
      </w:tr>
      <w:tr>
        <w:tblPrEx>
          <w:shd w:val="clear" w:color="auto" w:fill="ced7e7"/>
        </w:tblPrEx>
        <w:trPr>
          <w:trHeight w:val="580" w:hRule="atLeast"/>
        </w:trPr>
        <w:tc>
          <w:tcPr>
            <w:tcW w:type="dxa" w:w="4669"/>
            <w:gridSpan w:val="3"/>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jc w:val="center"/>
            </w:pPr>
            <w:r>
              <w:rPr>
                <w:b w:val="1"/>
                <w:bCs w:val="1"/>
                <w:color w:val="1f497d"/>
                <w:sz w:val="24"/>
                <w:szCs w:val="24"/>
                <w:u w:color="1f497d"/>
                <w:rtl w:val="0"/>
                <w:lang w:val="it-IT"/>
              </w:rPr>
              <w:t xml:space="preserve">Fonte: Eurydice 2016: </w:t>
            </w:r>
            <w:r>
              <w:rPr>
                <w:b w:val="1"/>
                <w:bCs w:val="1"/>
                <w:color w:val="1f497d"/>
                <w:sz w:val="24"/>
                <w:szCs w:val="24"/>
                <w:u w:color="1f497d"/>
                <w:lang w:val="it-IT"/>
              </w:rPr>
              <w:br w:type="textWrapping"/>
            </w:r>
            <w:r>
              <w:rPr>
                <w:b w:val="1"/>
                <w:bCs w:val="1"/>
                <w:color w:val="1f497d"/>
                <w:sz w:val="24"/>
                <w:szCs w:val="24"/>
                <w:u w:color="1f497d"/>
                <w:rtl w:val="0"/>
                <w:lang w:val="it-IT"/>
              </w:rPr>
              <w:t>Teaching Profession</w:t>
            </w:r>
          </w:p>
        </w:tc>
      </w:tr>
      <w:tr>
        <w:tblPrEx>
          <w:shd w:val="clear" w:color="auto" w:fill="ced7e7"/>
        </w:tblPrEx>
        <w:trPr>
          <w:trHeight w:val="300" w:hRule="atLeast"/>
        </w:trPr>
        <w:tc>
          <w:tcPr>
            <w:tcW w:type="dxa" w:w="4669"/>
            <w:gridSpan w:val="3"/>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jc w:val="center"/>
            </w:pPr>
            <w:r>
              <w:rPr>
                <w:b w:val="1"/>
                <w:bCs w:val="1"/>
                <w:color w:val="1f497d"/>
                <w:sz w:val="24"/>
                <w:szCs w:val="24"/>
                <w:u w:color="1f497d"/>
                <w:rtl w:val="0"/>
                <w:lang w:val="it-IT"/>
              </w:rPr>
              <w:t xml:space="preserve">in Europe, Practices, perception </w:t>
            </w:r>
            <w:r>
              <w:rPr>
                <w:b w:val="1"/>
                <w:bCs w:val="1"/>
                <w:color w:val="1f497d"/>
                <w:sz w:val="24"/>
                <w:szCs w:val="24"/>
                <w:u w:color="1f497d"/>
                <w:rtl w:val="0"/>
                <w:lang w:val="it-IT"/>
              </w:rPr>
              <w:t>…</w:t>
            </w:r>
          </w:p>
        </w:tc>
      </w:tr>
      <w:tr>
        <w:tblPrEx>
          <w:shd w:val="clear" w:color="auto" w:fill="ced7e7"/>
        </w:tblPrEx>
        <w:trPr>
          <w:trHeight w:val="300" w:hRule="atLeast"/>
        </w:trPr>
        <w:tc>
          <w:tcPr>
            <w:tcW w:type="dxa" w:w="4669"/>
            <w:gridSpan w:val="3"/>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jc w:val="center"/>
            </w:pPr>
            <w:r>
              <w:rPr>
                <w:b w:val="1"/>
                <w:bCs w:val="1"/>
                <w:color w:val="1f497d"/>
                <w:sz w:val="24"/>
                <w:szCs w:val="24"/>
                <w:u w:color="1f497d"/>
                <w:rtl w:val="0"/>
                <w:lang w:val="it-IT"/>
              </w:rPr>
              <w:t>Elaborazione UIL Scuola</w:t>
            </w:r>
          </w:p>
        </w:tc>
      </w:tr>
    </w:tbl>
    <w:p>
      <w:pPr>
        <w:pStyle w:val="Normale"/>
        <w:widowControl w:val="0"/>
        <w:spacing w:line="240" w:lineRule="auto"/>
        <w:jc w:val="center"/>
        <w:rPr>
          <w:color w:val="0f243e"/>
          <w:sz w:val="24"/>
          <w:szCs w:val="24"/>
          <w:u w:color="0f243e"/>
          <w:lang w:val="fr-FR"/>
        </w:rPr>
      </w:pPr>
    </w:p>
    <w:p>
      <w:pPr>
        <w:pStyle w:val="Normale"/>
        <w:jc w:val="both"/>
        <w:rPr>
          <w:sz w:val="24"/>
          <w:szCs w:val="24"/>
        </w:rPr>
      </w:pPr>
    </w:p>
    <w:p>
      <w:pPr>
        <w:pStyle w:val="Normale"/>
        <w:spacing w:after="0"/>
        <w:rPr>
          <w:sz w:val="24"/>
          <w:szCs w:val="24"/>
        </w:rPr>
      </w:pPr>
    </w:p>
    <w:p>
      <w:pPr>
        <w:pStyle w:val="Normale"/>
        <w:spacing w:after="0"/>
        <w:rPr>
          <w:sz w:val="24"/>
          <w:szCs w:val="24"/>
        </w:rPr>
      </w:pPr>
    </w:p>
    <w:p>
      <w:pPr>
        <w:pStyle w:val="Normale"/>
        <w:spacing w:after="0"/>
        <w:rPr>
          <w:sz w:val="24"/>
          <w:szCs w:val="24"/>
        </w:rPr>
      </w:pPr>
    </w:p>
    <w:p>
      <w:pPr>
        <w:pStyle w:val="Normale"/>
        <w:spacing w:after="0"/>
        <w:rPr>
          <w:sz w:val="24"/>
          <w:szCs w:val="24"/>
        </w:rPr>
      </w:pPr>
    </w:p>
    <w:p>
      <w:pPr>
        <w:pStyle w:val="Normale"/>
        <w:spacing w:after="0"/>
        <w:rPr>
          <w:sz w:val="24"/>
          <w:szCs w:val="24"/>
        </w:rPr>
      </w:pPr>
    </w:p>
    <w:p>
      <w:pPr>
        <w:pStyle w:val="Normale"/>
        <w:spacing w:after="0"/>
        <w:rPr>
          <w:sz w:val="24"/>
          <w:szCs w:val="24"/>
        </w:rPr>
      </w:pPr>
    </w:p>
    <w:p>
      <w:pPr>
        <w:pStyle w:val="Normale"/>
        <w:spacing w:after="0"/>
        <w:rPr>
          <w:sz w:val="24"/>
          <w:szCs w:val="24"/>
        </w:rPr>
      </w:pPr>
    </w:p>
    <w:p>
      <w:pPr>
        <w:pStyle w:val="Normale"/>
        <w:spacing w:after="0"/>
        <w:jc w:val="center"/>
        <w:rPr>
          <w:b w:val="1"/>
          <w:bCs w:val="1"/>
          <w:color w:val="0f243e"/>
          <w:sz w:val="40"/>
          <w:szCs w:val="40"/>
          <w:u w:color="0f243e"/>
        </w:rPr>
      </w:pPr>
      <w:r>
        <w:rPr>
          <w:b w:val="1"/>
          <w:bCs w:val="1"/>
          <w:color w:val="0f243e"/>
          <w:sz w:val="40"/>
          <w:szCs w:val="40"/>
          <w:u w:color="0f243e"/>
          <w:rtl w:val="0"/>
          <w:lang w:val="it-IT"/>
        </w:rPr>
        <w:t>Giorni di scuola per anno scolastico</w:t>
      </w:r>
    </w:p>
    <w:p>
      <w:pPr>
        <w:pStyle w:val="Normale"/>
        <w:spacing w:after="0"/>
        <w:jc w:val="center"/>
        <w:rPr>
          <w:b w:val="1"/>
          <w:bCs w:val="1"/>
          <w:color w:val="0f243e"/>
          <w:sz w:val="40"/>
          <w:szCs w:val="40"/>
          <w:u w:color="0f243e"/>
        </w:rPr>
      </w:pPr>
    </w:p>
    <w:p>
      <w:pPr>
        <w:pStyle w:val="Normale"/>
        <w:spacing w:after="0"/>
        <w:ind w:left="567" w:right="981" w:firstLine="0"/>
        <w:rPr>
          <w:color w:val="0f243e"/>
          <w:sz w:val="24"/>
          <w:szCs w:val="24"/>
          <w:u w:color="0f243e"/>
        </w:rPr>
      </w:pPr>
      <w:r>
        <w:rPr>
          <w:color w:val="0f243e"/>
          <w:sz w:val="24"/>
          <w:szCs w:val="24"/>
          <w:u w:color="0f243e"/>
          <w:rtl w:val="0"/>
          <w:lang w:val="it-IT"/>
        </w:rPr>
        <w:t xml:space="preserve">La </w:t>
      </w:r>
      <w:r>
        <w:rPr>
          <w:b w:val="1"/>
          <w:bCs w:val="1"/>
          <w:color w:val="0f243e"/>
          <w:sz w:val="24"/>
          <w:szCs w:val="24"/>
          <w:u w:color="0f243e"/>
          <w:rtl w:val="0"/>
          <w:lang w:val="it-IT"/>
        </w:rPr>
        <w:t>durata dell</w:t>
      </w:r>
      <w:r>
        <w:rPr>
          <w:b w:val="1"/>
          <w:bCs w:val="1"/>
          <w:color w:val="0f243e"/>
          <w:sz w:val="24"/>
          <w:szCs w:val="24"/>
          <w:u w:color="0f243e"/>
          <w:rtl w:val="0"/>
          <w:lang w:val="it-IT"/>
        </w:rPr>
        <w:t>’</w:t>
      </w:r>
      <w:r>
        <w:rPr>
          <w:b w:val="1"/>
          <w:bCs w:val="1"/>
          <w:color w:val="0f243e"/>
          <w:sz w:val="24"/>
          <w:szCs w:val="24"/>
          <w:u w:color="0f243e"/>
          <w:rtl w:val="0"/>
          <w:lang w:val="it-IT"/>
        </w:rPr>
        <w:t>anno scolastico</w:t>
      </w:r>
      <w:r>
        <w:rPr>
          <w:color w:val="0f243e"/>
          <w:sz w:val="24"/>
          <w:szCs w:val="24"/>
          <w:u w:color="0f243e"/>
          <w:rtl w:val="0"/>
          <w:lang w:val="it-IT"/>
        </w:rPr>
        <w:t xml:space="preserve"> è </w:t>
      </w:r>
      <w:r>
        <w:rPr>
          <w:color w:val="0f243e"/>
          <w:sz w:val="24"/>
          <w:szCs w:val="24"/>
          <w:u w:color="0f243e"/>
          <w:rtl w:val="0"/>
          <w:lang w:val="it-IT"/>
        </w:rPr>
        <w:t>argomento di cui spesso si parla ,  Eurydice ci  fornisce un  quadro dettagliato, aggiornato ogni anno, relativo a tutti i Paesi Europei, compresi quelli che non fanno parte dell</w:t>
      </w:r>
      <w:r>
        <w:rPr>
          <w:color w:val="0f243e"/>
          <w:sz w:val="24"/>
          <w:szCs w:val="24"/>
          <w:u w:color="0f243e"/>
          <w:rtl w:val="0"/>
          <w:lang w:val="it-IT"/>
        </w:rPr>
        <w:t>’</w:t>
      </w:r>
      <w:r>
        <w:rPr>
          <w:color w:val="0f243e"/>
          <w:sz w:val="24"/>
          <w:szCs w:val="24"/>
          <w:u w:color="0f243e"/>
          <w:rtl w:val="0"/>
          <w:lang w:val="it-IT"/>
        </w:rPr>
        <w:t>Unione europea.</w:t>
      </w:r>
    </w:p>
    <w:p>
      <w:pPr>
        <w:pStyle w:val="Normale"/>
        <w:spacing w:after="0"/>
        <w:ind w:left="567" w:right="981" w:firstLine="0"/>
        <w:rPr>
          <w:color w:val="0f243e"/>
          <w:sz w:val="24"/>
          <w:szCs w:val="24"/>
          <w:u w:color="0f243e"/>
        </w:rPr>
      </w:pPr>
    </w:p>
    <w:p>
      <w:pPr>
        <w:pStyle w:val="Normale"/>
        <w:spacing w:after="0"/>
        <w:ind w:left="567" w:right="981" w:firstLine="0"/>
        <w:rPr>
          <w:color w:val="0f243e"/>
          <w:sz w:val="24"/>
          <w:szCs w:val="24"/>
          <w:u w:color="0f243e"/>
        </w:rPr>
      </w:pPr>
      <w:r>
        <w:rPr>
          <w:color w:val="0f243e"/>
          <w:sz w:val="24"/>
          <w:szCs w:val="24"/>
          <w:u w:color="0f243e"/>
          <w:rtl w:val="0"/>
          <w:lang w:val="it-IT"/>
        </w:rPr>
        <w:t>Riportiamo letteralmente il breve commento riportato nella stessa indagine Eurydice:</w:t>
      </w:r>
    </w:p>
    <w:p>
      <w:pPr>
        <w:pStyle w:val="Normale"/>
        <w:spacing w:after="0"/>
        <w:ind w:left="567" w:right="981" w:firstLine="0"/>
        <w:rPr>
          <w:color w:val="0f243e"/>
          <w:sz w:val="24"/>
          <w:szCs w:val="24"/>
          <w:u w:color="0f243e"/>
        </w:rPr>
      </w:pPr>
      <w:r>
        <w:rPr>
          <w:rFonts w:ascii="Sitka Small" w:cs="Sitka Small" w:hAnsi="Sitka Small" w:eastAsia="Sitka Small"/>
          <w:color w:val="0f243e"/>
          <w:sz w:val="24"/>
          <w:szCs w:val="24"/>
          <w:u w:color="0f243e"/>
        </w:rPr>
        <w:br w:type="textWrapping"/>
      </w:r>
      <w:r>
        <w:rPr>
          <w:rFonts w:ascii="Sitka Small" w:cs="Sitka Small" w:hAnsi="Sitka Small" w:eastAsia="Sitka Small"/>
          <w:i w:val="1"/>
          <w:iCs w:val="1"/>
          <w:color w:val="0f243e"/>
          <w:sz w:val="24"/>
          <w:szCs w:val="24"/>
          <w:u w:color="0f243e"/>
          <w:rtl w:val="0"/>
          <w:lang w:val="it-IT"/>
        </w:rPr>
        <w:t>«</w:t>
      </w:r>
      <w:r>
        <w:rPr>
          <w:b w:val="1"/>
          <w:bCs w:val="1"/>
          <w:i w:val="1"/>
          <w:iCs w:val="1"/>
          <w:color w:val="0f243e"/>
          <w:sz w:val="24"/>
          <w:szCs w:val="24"/>
          <w:u w:color="0f243e"/>
          <w:rtl w:val="0"/>
          <w:lang w:val="it-IT"/>
        </w:rPr>
        <w:t>Il numero di giorni di scuola varia tra 162 giorni in Francia (tranne nell'istruzione secondaria superiore) e 200 giorni in Danimarca e</w:t>
      </w:r>
      <w:r>
        <w:rPr>
          <w:i w:val="1"/>
          <w:iCs w:val="1"/>
          <w:color w:val="0f243e"/>
          <w:sz w:val="24"/>
          <w:szCs w:val="24"/>
          <w:u w:color="0f243e"/>
          <w:rtl w:val="0"/>
          <w:lang w:val="it-IT"/>
        </w:rPr>
        <w:t xml:space="preserve"> </w:t>
      </w:r>
      <w:r>
        <w:rPr>
          <w:b w:val="1"/>
          <w:bCs w:val="1"/>
          <w:i w:val="1"/>
          <w:iCs w:val="1"/>
          <w:color w:val="0f243e"/>
          <w:sz w:val="24"/>
          <w:szCs w:val="24"/>
          <w:u w:color="0f243e"/>
          <w:rtl w:val="0"/>
          <w:lang w:val="it-IT"/>
        </w:rPr>
        <w:t>in Italia.</w:t>
      </w:r>
      <w:r>
        <w:rPr>
          <w:i w:val="1"/>
          <w:iCs w:val="1"/>
          <w:color w:val="0f243e"/>
          <w:sz w:val="24"/>
          <w:szCs w:val="24"/>
          <w:u w:color="0f243e"/>
        </w:rPr>
        <w:br w:type="textWrapping"/>
      </w:r>
      <w:r>
        <w:rPr>
          <w:i w:val="1"/>
          <w:iCs w:val="1"/>
          <w:color w:val="0f243e"/>
          <w:sz w:val="24"/>
          <w:szCs w:val="24"/>
          <w:u w:color="0f243e"/>
          <w:rtl w:val="0"/>
          <w:lang w:val="it-IT"/>
        </w:rPr>
        <w:t>In circa met</w:t>
      </w:r>
      <w:r>
        <w:rPr>
          <w:i w:val="1"/>
          <w:iCs w:val="1"/>
          <w:color w:val="0f243e"/>
          <w:sz w:val="24"/>
          <w:szCs w:val="24"/>
          <w:u w:color="0f243e"/>
          <w:rtl w:val="0"/>
          <w:lang w:val="it-IT"/>
        </w:rPr>
        <w:t xml:space="preserve">à </w:t>
      </w:r>
      <w:r>
        <w:rPr>
          <w:i w:val="1"/>
          <w:iCs w:val="1"/>
          <w:color w:val="0f243e"/>
          <w:sz w:val="24"/>
          <w:szCs w:val="24"/>
          <w:u w:color="0f243e"/>
          <w:rtl w:val="0"/>
          <w:lang w:val="it-IT"/>
        </w:rPr>
        <w:t xml:space="preserve">dei Paesi, </w:t>
      </w:r>
      <w:r>
        <w:rPr>
          <w:i w:val="1"/>
          <w:iCs w:val="1"/>
          <w:color w:val="0f243e"/>
          <w:sz w:val="24"/>
          <w:szCs w:val="24"/>
          <w:u w:color="0f243e"/>
          <w:rtl w:val="0"/>
          <w:lang w:val="it-IT"/>
        </w:rPr>
        <w:t xml:space="preserve">è </w:t>
      </w:r>
      <w:r>
        <w:rPr>
          <w:i w:val="1"/>
          <w:iCs w:val="1"/>
          <w:color w:val="0f243e"/>
          <w:sz w:val="24"/>
          <w:szCs w:val="24"/>
          <w:u w:color="0f243e"/>
          <w:rtl w:val="0"/>
          <w:lang w:val="it-IT"/>
        </w:rPr>
        <w:t xml:space="preserve">tra 170 e 180 giorni; in 15 paesi, il numero varia da 181 a 190 giorni.  In generale, il numero di giorni di scuola </w:t>
      </w:r>
      <w:r>
        <w:rPr>
          <w:i w:val="1"/>
          <w:iCs w:val="1"/>
          <w:color w:val="0f243e"/>
          <w:sz w:val="24"/>
          <w:szCs w:val="24"/>
          <w:u w:color="0f243e"/>
          <w:rtl w:val="0"/>
          <w:lang w:val="it-IT"/>
        </w:rPr>
        <w:t xml:space="preserve">è </w:t>
      </w:r>
      <w:r>
        <w:rPr>
          <w:i w:val="1"/>
          <w:iCs w:val="1"/>
          <w:color w:val="0f243e"/>
          <w:sz w:val="24"/>
          <w:szCs w:val="24"/>
          <w:u w:color="0f243e"/>
          <w:rtl w:val="0"/>
          <w:lang w:val="it-IT"/>
        </w:rPr>
        <w:t xml:space="preserve">lo stesso nell'istruzione primaria e secondaria, ma ci sono alcune eccezioni: in Belgio, Francia (istruzione secondaria superiore) e Bosnia e Herzegovina (Republica Srpska), il numero di giorni di scuole </w:t>
      </w:r>
      <w:r>
        <w:rPr>
          <w:i w:val="1"/>
          <w:iCs w:val="1"/>
          <w:color w:val="0f243e"/>
          <w:sz w:val="24"/>
          <w:szCs w:val="24"/>
          <w:u w:color="0f243e"/>
          <w:rtl w:val="0"/>
          <w:lang w:val="it-IT"/>
        </w:rPr>
        <w:t xml:space="preserve">è </w:t>
      </w:r>
      <w:r>
        <w:rPr>
          <w:i w:val="1"/>
          <w:iCs w:val="1"/>
          <w:color w:val="0f243e"/>
          <w:sz w:val="24"/>
          <w:szCs w:val="24"/>
          <w:u w:color="0f243e"/>
          <w:rtl w:val="0"/>
          <w:lang w:val="it-IT"/>
        </w:rPr>
        <w:t>superiore nell'istruzione secondaria rispetto alla primaria.</w:t>
      </w:r>
      <w:r>
        <w:rPr>
          <w:i w:val="1"/>
          <w:iCs w:val="1"/>
          <w:color w:val="0f243e"/>
          <w:sz w:val="24"/>
          <w:szCs w:val="24"/>
          <w:u w:color="0f243e"/>
        </w:rPr>
        <w:br w:type="textWrapping"/>
      </w:r>
      <w:r>
        <w:rPr>
          <w:i w:val="1"/>
          <w:iCs w:val="1"/>
          <w:color w:val="0f243e"/>
          <w:sz w:val="24"/>
          <w:szCs w:val="24"/>
          <w:u w:color="0f243e"/>
          <w:rtl w:val="0"/>
          <w:lang w:val="it-IT"/>
        </w:rPr>
        <w:t xml:space="preserve">L'opposto (meno giorni di scuola nell'istruzione secondaria rispetto all'istruzione primaria) </w:t>
      </w:r>
      <w:r>
        <w:rPr>
          <w:i w:val="1"/>
          <w:iCs w:val="1"/>
          <w:color w:val="0f243e"/>
          <w:sz w:val="24"/>
          <w:szCs w:val="24"/>
          <w:u w:color="0f243e"/>
          <w:rtl w:val="0"/>
          <w:lang w:val="it-IT"/>
        </w:rPr>
        <w:t xml:space="preserve">è </w:t>
      </w:r>
      <w:r>
        <w:rPr>
          <w:i w:val="1"/>
          <w:iCs w:val="1"/>
          <w:color w:val="0f243e"/>
          <w:sz w:val="24"/>
          <w:szCs w:val="24"/>
          <w:u w:color="0f243e"/>
          <w:rtl w:val="0"/>
          <w:lang w:val="it-IT"/>
        </w:rPr>
        <w:t>osservato in Irlanda, Grecia, Cipro, Paesi Bassi e Polonia</w:t>
      </w:r>
      <w:r>
        <w:rPr>
          <w:rFonts w:ascii="Sitka Small" w:cs="Sitka Small" w:hAnsi="Sitka Small" w:eastAsia="Sitka Small"/>
          <w:color w:val="0f243e"/>
          <w:sz w:val="24"/>
          <w:szCs w:val="24"/>
          <w:u w:color="0f243e"/>
          <w:rtl w:val="0"/>
          <w:lang w:val="it-IT"/>
        </w:rPr>
        <w:t>»</w:t>
      </w:r>
      <w:r>
        <w:rPr>
          <w:color w:val="0f243e"/>
          <w:sz w:val="24"/>
          <w:szCs w:val="24"/>
          <w:u w:color="0f243e"/>
          <w:rtl w:val="0"/>
          <w:lang w:val="it-IT"/>
        </w:rPr>
        <w:t>.</w:t>
      </w:r>
    </w:p>
    <w:p>
      <w:pPr>
        <w:pStyle w:val="Normale"/>
        <w:spacing w:after="0"/>
        <w:ind w:left="567" w:right="981" w:firstLine="0"/>
        <w:rPr>
          <w:color w:val="0f243e"/>
          <w:sz w:val="24"/>
          <w:szCs w:val="24"/>
          <w:u w:color="0f243e"/>
        </w:rPr>
      </w:pPr>
    </w:p>
    <w:p>
      <w:pPr>
        <w:pStyle w:val="Normale"/>
        <w:spacing w:after="0"/>
        <w:ind w:left="567" w:right="1264" w:firstLine="0"/>
        <w:rPr>
          <w:color w:val="0f243e"/>
          <w:sz w:val="24"/>
          <w:szCs w:val="24"/>
          <w:u w:color="0f243e"/>
        </w:rPr>
      </w:pPr>
      <w:r>
        <w:rPr>
          <w:color w:val="0f243e"/>
          <w:sz w:val="24"/>
          <w:szCs w:val="24"/>
          <w:u w:color="0f243e"/>
          <w:rtl w:val="0"/>
          <w:lang w:val="it-IT"/>
        </w:rPr>
        <w:t xml:space="preserve">Una grande differenza </w:t>
      </w:r>
      <w:r>
        <w:rPr>
          <w:color w:val="0f243e"/>
          <w:sz w:val="24"/>
          <w:szCs w:val="24"/>
          <w:u w:color="0f243e"/>
          <w:rtl w:val="0"/>
          <w:lang w:val="it-IT"/>
        </w:rPr>
        <w:t xml:space="preserve">è </w:t>
      </w:r>
      <w:r>
        <w:rPr>
          <w:color w:val="0f243e"/>
          <w:sz w:val="24"/>
          <w:szCs w:val="24"/>
          <w:u w:color="0f243e"/>
          <w:rtl w:val="0"/>
          <w:lang w:val="it-IT"/>
        </w:rPr>
        <w:t>rappresentata dalla distribuzione dei giorni di vacanza durante l</w:t>
      </w:r>
      <w:r>
        <w:rPr>
          <w:color w:val="0f243e"/>
          <w:sz w:val="24"/>
          <w:szCs w:val="24"/>
          <w:u w:color="0f243e"/>
          <w:rtl w:val="0"/>
          <w:lang w:val="it-IT"/>
        </w:rPr>
        <w:t>’</w:t>
      </w:r>
      <w:r>
        <w:rPr>
          <w:color w:val="0f243e"/>
          <w:sz w:val="24"/>
          <w:szCs w:val="24"/>
          <w:u w:color="0f243e"/>
          <w:rtl w:val="0"/>
          <w:lang w:val="it-IT"/>
        </w:rPr>
        <w:t xml:space="preserve">anno scolastico: oltre le vacanze estive, presenti in tutti i Paesi e di durata variabile da 6 settimane (Germania) a </w:t>
      </w:r>
      <w:r>
        <w:rPr>
          <w:b w:val="1"/>
          <w:bCs w:val="1"/>
          <w:color w:val="0f243e"/>
          <w:sz w:val="24"/>
          <w:szCs w:val="24"/>
          <w:u w:color="0f243e"/>
          <w:rtl w:val="0"/>
          <w:lang w:val="it-IT"/>
        </w:rPr>
        <w:t>14 settimane (Italia)</w:t>
      </w:r>
      <w:r>
        <w:rPr>
          <w:color w:val="0f243e"/>
          <w:sz w:val="24"/>
          <w:szCs w:val="24"/>
          <w:u w:color="0f243e"/>
          <w:rtl w:val="0"/>
          <w:lang w:val="it-IT"/>
        </w:rPr>
        <w:t>,</w:t>
      </w:r>
      <w:r>
        <w:rPr>
          <w:b w:val="1"/>
          <w:bCs w:val="1"/>
          <w:color w:val="0f243e"/>
          <w:sz w:val="24"/>
          <w:szCs w:val="24"/>
          <w:u w:color="0f243e"/>
          <w:rtl w:val="0"/>
          <w:lang w:val="it-IT"/>
        </w:rPr>
        <w:t xml:space="preserve"> </w:t>
      </w:r>
      <w:r>
        <w:rPr>
          <w:color w:val="0f243e"/>
          <w:sz w:val="24"/>
          <w:szCs w:val="24"/>
          <w:u w:color="0f243e"/>
          <w:rtl w:val="0"/>
          <w:lang w:val="it-IT"/>
        </w:rPr>
        <w:t>e a diverse durate delle vacanze di Natale/Capodanno, Primavera/Pasqua, in quasi tutti i Paesi ci sono altre interruzioni come le vacanze d</w:t>
      </w:r>
      <w:r>
        <w:rPr>
          <w:color w:val="0f243e"/>
          <w:sz w:val="24"/>
          <w:szCs w:val="24"/>
          <w:u w:color="0f243e"/>
          <w:rtl w:val="0"/>
          <w:lang w:val="it-IT"/>
        </w:rPr>
        <w:t>’</w:t>
      </w:r>
      <w:r>
        <w:rPr>
          <w:color w:val="0f243e"/>
          <w:sz w:val="24"/>
          <w:szCs w:val="24"/>
          <w:u w:color="0f243e"/>
          <w:rtl w:val="0"/>
          <w:lang w:val="it-IT"/>
        </w:rPr>
        <w:t>autunno, quelle d</w:t>
      </w:r>
      <w:r>
        <w:rPr>
          <w:color w:val="0f243e"/>
          <w:sz w:val="24"/>
          <w:szCs w:val="24"/>
          <w:u w:color="0f243e"/>
          <w:rtl w:val="0"/>
          <w:lang w:val="it-IT"/>
        </w:rPr>
        <w:t>’</w:t>
      </w:r>
      <w:r>
        <w:rPr>
          <w:color w:val="0f243e"/>
          <w:sz w:val="24"/>
          <w:szCs w:val="24"/>
          <w:u w:color="0f243e"/>
          <w:rtl w:val="0"/>
          <w:lang w:val="it-IT"/>
        </w:rPr>
        <w:t xml:space="preserve">inverno/carnevale, le </w:t>
      </w:r>
      <w:r>
        <w:rPr>
          <w:color w:val="0f243e"/>
          <w:sz w:val="24"/>
          <w:szCs w:val="24"/>
          <w:u w:color="0f243e"/>
          <w:rtl w:val="0"/>
          <w:lang w:val="it-IT"/>
        </w:rPr>
        <w:t>“</w:t>
      </w:r>
      <w:r>
        <w:rPr>
          <w:color w:val="0f243e"/>
          <w:sz w:val="24"/>
          <w:szCs w:val="24"/>
          <w:u w:color="0f243e"/>
          <w:rtl w:val="0"/>
          <w:lang w:val="it-IT"/>
        </w:rPr>
        <w:t>Third Term holidays</w:t>
      </w:r>
      <w:r>
        <w:rPr>
          <w:color w:val="0f243e"/>
          <w:sz w:val="24"/>
          <w:szCs w:val="24"/>
          <w:u w:color="0f243e"/>
          <w:rtl w:val="0"/>
          <w:lang w:val="it-IT"/>
        </w:rPr>
        <w:t xml:space="preserve">” </w:t>
      </w:r>
      <w:r>
        <w:rPr>
          <w:color w:val="0f243e"/>
          <w:sz w:val="24"/>
          <w:szCs w:val="24"/>
          <w:u w:color="0f243e"/>
          <w:rtl w:val="0"/>
          <w:lang w:val="it-IT"/>
        </w:rPr>
        <w:t>(generalmente una settimana tra la fine di maggio e l</w:t>
      </w:r>
      <w:r>
        <w:rPr>
          <w:color w:val="0f243e"/>
          <w:sz w:val="24"/>
          <w:szCs w:val="24"/>
          <w:u w:color="0f243e"/>
          <w:rtl w:val="0"/>
          <w:lang w:val="it-IT"/>
        </w:rPr>
        <w:t>’</w:t>
      </w:r>
      <w:r>
        <w:rPr>
          <w:color w:val="0f243e"/>
          <w:sz w:val="24"/>
          <w:szCs w:val="24"/>
          <w:u w:color="0f243e"/>
          <w:rtl w:val="0"/>
          <w:lang w:val="it-IT"/>
        </w:rPr>
        <w:t>inizio di giugno), oltre le singole giornate di festivit</w:t>
      </w:r>
      <w:r>
        <w:rPr>
          <w:color w:val="0f243e"/>
          <w:sz w:val="24"/>
          <w:szCs w:val="24"/>
          <w:u w:color="0f243e"/>
          <w:rtl w:val="0"/>
          <w:lang w:val="it-IT"/>
        </w:rPr>
        <w:t xml:space="preserve">à </w:t>
      </w:r>
      <w:r>
        <w:rPr>
          <w:color w:val="0f243e"/>
          <w:sz w:val="24"/>
          <w:szCs w:val="24"/>
          <w:u w:color="0f243e"/>
          <w:rtl w:val="0"/>
          <w:lang w:val="it-IT"/>
        </w:rPr>
        <w:t xml:space="preserve">religiose e civili presenti in tutti i Paesi (rispetto alle nostre 5, che </w:t>
      </w:r>
      <w:r>
        <w:rPr>
          <w:color w:val="0f243e"/>
          <w:sz w:val="24"/>
          <w:szCs w:val="24"/>
          <w:u w:color="0f243e"/>
          <w:rtl w:val="0"/>
          <w:lang w:val="it-IT"/>
        </w:rPr>
        <w:t xml:space="preserve">è </w:t>
      </w:r>
      <w:r>
        <w:rPr>
          <w:color w:val="0f243e"/>
          <w:sz w:val="24"/>
          <w:szCs w:val="24"/>
          <w:u w:color="0f243e"/>
          <w:rtl w:val="0"/>
          <w:lang w:val="it-IT"/>
        </w:rPr>
        <w:t>la quantit</w:t>
      </w:r>
      <w:r>
        <w:rPr>
          <w:color w:val="0f243e"/>
          <w:sz w:val="24"/>
          <w:szCs w:val="24"/>
          <w:u w:color="0f243e"/>
          <w:rtl w:val="0"/>
          <w:lang w:val="it-IT"/>
        </w:rPr>
        <w:t xml:space="preserve">à </w:t>
      </w:r>
      <w:r>
        <w:rPr>
          <w:color w:val="0f243e"/>
          <w:sz w:val="24"/>
          <w:szCs w:val="24"/>
          <w:u w:color="0f243e"/>
          <w:rtl w:val="0"/>
          <w:lang w:val="it-IT"/>
        </w:rPr>
        <w:t>pi</w:t>
      </w:r>
      <w:r>
        <w:rPr>
          <w:color w:val="0f243e"/>
          <w:sz w:val="24"/>
          <w:szCs w:val="24"/>
          <w:u w:color="0f243e"/>
          <w:rtl w:val="0"/>
          <w:lang w:val="it-IT"/>
        </w:rPr>
        <w:t xml:space="preserve">ù </w:t>
      </w:r>
      <w:r>
        <w:rPr>
          <w:color w:val="0f243e"/>
          <w:sz w:val="24"/>
          <w:szCs w:val="24"/>
          <w:u w:color="0f243e"/>
          <w:rtl w:val="0"/>
          <w:lang w:val="it-IT"/>
        </w:rPr>
        <w:t>comune, In Germania sono 10 giornate, in Francia sono 11, Spagna 12).</w:t>
      </w:r>
    </w:p>
    <w:p>
      <w:pPr>
        <w:pStyle w:val="Normale"/>
        <w:ind w:left="567" w:right="1264" w:firstLine="0"/>
        <w:rPr>
          <w:rStyle w:val="Nessuno"/>
          <w:color w:val="0f243e"/>
          <w:sz w:val="28"/>
          <w:szCs w:val="28"/>
          <w:u w:color="0f243e"/>
        </w:rPr>
      </w:pPr>
      <w:r>
        <w:rPr>
          <w:color w:val="0f243e"/>
          <w:sz w:val="24"/>
          <w:szCs w:val="24"/>
          <w:u w:color="0f243e"/>
        </w:rPr>
        <w:br w:type="textWrapping"/>
      </w:r>
      <w:r>
        <w:rPr>
          <w:color w:val="0f243e"/>
          <w:sz w:val="24"/>
          <w:szCs w:val="24"/>
          <w:u w:color="0f243e"/>
          <w:rtl w:val="0"/>
          <w:lang w:val="it-IT"/>
        </w:rPr>
        <w:t xml:space="preserve">Tutti i dettagli sono consultabili anche sul sito Indire: </w:t>
      </w:r>
      <w:r>
        <w:rPr>
          <w:rStyle w:val="Hyperlink.0"/>
        </w:rPr>
        <w:fldChar w:fldCharType="begin" w:fldLock="0"/>
      </w:r>
      <w:r>
        <w:rPr>
          <w:rStyle w:val="Hyperlink.0"/>
        </w:rPr>
        <w:instrText xml:space="preserve"> HYPERLINK "http://eurydice.indire.it/pubblicazioni/the-organisation-of-school-time-in-europe-primary-and-general-secondary-education-20172018/"</w:instrText>
      </w:r>
      <w:r>
        <w:rPr>
          <w:rStyle w:val="Hyperlink.0"/>
        </w:rPr>
        <w:fldChar w:fldCharType="separate" w:fldLock="0"/>
      </w:r>
      <w:r>
        <w:rPr>
          <w:rStyle w:val="Hyperlink.0"/>
          <w:rtl w:val="0"/>
          <w:lang w:val="it-IT"/>
        </w:rPr>
        <w:t>http://eurydice.indire.it/pubblicazioni/the-organisation-of-school-time-in-europe-primary-and-general-secondary-education-20172018/</w:t>
      </w:r>
      <w:r>
        <w:rPr/>
        <w:fldChar w:fldCharType="end" w:fldLock="0"/>
      </w:r>
    </w:p>
    <w:p>
      <w:pPr>
        <w:pStyle w:val="Normale"/>
        <w:spacing w:after="0"/>
        <w:ind w:left="567" w:right="981" w:firstLine="0"/>
        <w:rPr>
          <w:rStyle w:val="Nessuno"/>
          <w:color w:val="0f243e"/>
          <w:sz w:val="24"/>
          <w:szCs w:val="24"/>
          <w:u w:color="0f243e"/>
        </w:rPr>
      </w:pPr>
    </w:p>
    <w:p>
      <w:pPr>
        <w:pStyle w:val="Normale"/>
        <w:spacing w:after="0"/>
      </w:pPr>
      <w:r>
        <w:drawing>
          <wp:inline distT="0" distB="0" distL="0" distR="0">
            <wp:extent cx="6651095" cy="6685796"/>
            <wp:effectExtent l="0" t="0" r="0" b="0"/>
            <wp:docPr id="1073741833" name="officeArt object" descr="C:\Users\lmacro\Desktop\GIORNALE\numero giorni scuola per anno.JPG"/>
            <wp:cNvGraphicFramePr/>
            <a:graphic xmlns:a="http://schemas.openxmlformats.org/drawingml/2006/main">
              <a:graphicData uri="http://schemas.openxmlformats.org/drawingml/2006/picture">
                <pic:pic xmlns:pic="http://schemas.openxmlformats.org/drawingml/2006/picture">
                  <pic:nvPicPr>
                    <pic:cNvPr id="1073741833" name="numero giorni scuola per anno.jpg" descr="C:\Users\lmacro\Desktop\GIORNALE\numero giorni scuola per anno.JPG"/>
                    <pic:cNvPicPr>
                      <a:picLocks noChangeAspect="1"/>
                    </pic:cNvPicPr>
                  </pic:nvPicPr>
                  <pic:blipFill>
                    <a:blip r:embed="rId9">
                      <a:extLst/>
                    </a:blip>
                    <a:stretch>
                      <a:fillRect/>
                    </a:stretch>
                  </pic:blipFill>
                  <pic:spPr>
                    <a:xfrm>
                      <a:off x="0" y="0"/>
                      <a:ext cx="6651095" cy="6685796"/>
                    </a:xfrm>
                    <a:prstGeom prst="rect">
                      <a:avLst/>
                    </a:prstGeom>
                    <a:ln w="12700" cap="flat">
                      <a:noFill/>
                      <a:miter lim="400000"/>
                    </a:ln>
                    <a:effectLst/>
                  </pic:spPr>
                </pic:pic>
              </a:graphicData>
            </a:graphic>
          </wp:inline>
        </w:drawing>
      </w:r>
    </w:p>
    <w:p>
      <w:pPr>
        <w:pStyle w:val="Normale"/>
        <w:jc w:val="both"/>
        <w:rPr>
          <w:rStyle w:val="Nessuno"/>
          <w:b w:val="1"/>
          <w:bCs w:val="1"/>
          <w:color w:val="0070c0"/>
          <w:sz w:val="28"/>
          <w:szCs w:val="28"/>
          <w:u w:color="0070c0"/>
        </w:rPr>
      </w:pPr>
    </w:p>
    <w:p>
      <w:pPr>
        <w:pStyle w:val="Normale"/>
        <w:jc w:val="center"/>
        <w:rPr>
          <w:rStyle w:val="Nessuno"/>
          <w:b w:val="1"/>
          <w:bCs w:val="1"/>
          <w:color w:val="0070c0"/>
          <w:sz w:val="28"/>
          <w:szCs w:val="28"/>
          <w:u w:color="0070c0"/>
        </w:rPr>
      </w:pPr>
    </w:p>
    <w:p>
      <w:pPr>
        <w:pStyle w:val="Normale"/>
        <w:jc w:val="center"/>
        <w:rPr>
          <w:rStyle w:val="Nessuno"/>
          <w:b w:val="1"/>
          <w:bCs w:val="1"/>
          <w:color w:val="0070c0"/>
          <w:sz w:val="28"/>
          <w:szCs w:val="28"/>
          <w:u w:color="0070c0"/>
        </w:rPr>
      </w:pPr>
    </w:p>
    <w:p>
      <w:pPr>
        <w:pStyle w:val="Normale"/>
        <w:jc w:val="center"/>
        <w:rPr>
          <w:rStyle w:val="Nessuno"/>
          <w:b w:val="1"/>
          <w:bCs w:val="1"/>
          <w:color w:val="0070c0"/>
          <w:sz w:val="28"/>
          <w:szCs w:val="28"/>
          <w:u w:color="0070c0"/>
        </w:rPr>
      </w:pPr>
    </w:p>
    <w:p>
      <w:pPr>
        <w:pStyle w:val="Normale"/>
        <w:rPr>
          <w:rStyle w:val="Nessuno"/>
          <w:b w:val="1"/>
          <w:bCs w:val="1"/>
          <w:color w:val="0070c0"/>
          <w:sz w:val="28"/>
          <w:szCs w:val="28"/>
          <w:u w:color="0070c0"/>
        </w:rPr>
      </w:pPr>
    </w:p>
    <w:p>
      <w:pPr>
        <w:pStyle w:val="Normale"/>
        <w:jc w:val="center"/>
        <w:rPr>
          <w:rStyle w:val="Nessuno"/>
          <w:b w:val="1"/>
          <w:bCs w:val="1"/>
          <w:color w:val="0f243e"/>
          <w:sz w:val="40"/>
          <w:szCs w:val="40"/>
          <w:u w:color="0f243e"/>
        </w:rPr>
      </w:pPr>
      <w:r>
        <w:rPr>
          <w:rStyle w:val="Nessuno"/>
          <w:b w:val="1"/>
          <w:bCs w:val="1"/>
          <w:color w:val="0f243e"/>
          <w:sz w:val="40"/>
          <w:szCs w:val="40"/>
          <w:u w:color="0f243e"/>
          <w:rtl w:val="0"/>
          <w:lang w:val="it-IT"/>
        </w:rPr>
        <w:t>Il numero dei docenti</w:t>
      </w:r>
    </w:p>
    <w:p>
      <w:pPr>
        <w:pStyle w:val="Normale"/>
        <w:ind w:left="567" w:right="981" w:firstLine="0"/>
        <w:rPr>
          <w:rStyle w:val="Nessuno"/>
          <w:color w:val="0f243e"/>
          <w:sz w:val="24"/>
          <w:szCs w:val="24"/>
          <w:u w:color="0f243e"/>
        </w:rPr>
      </w:pPr>
      <w:r>
        <w:rPr>
          <w:rStyle w:val="Nessuno"/>
          <w:color w:val="0f243e"/>
          <w:sz w:val="24"/>
          <w:szCs w:val="24"/>
          <w:u w:color="0f243e"/>
          <w:rtl w:val="0"/>
          <w:lang w:val="it-IT"/>
        </w:rPr>
        <w:t>Gli insegnanti sono troppi: ecco un</w:t>
      </w:r>
      <w:r>
        <w:rPr>
          <w:rStyle w:val="Nessuno"/>
          <w:color w:val="0f243e"/>
          <w:sz w:val="24"/>
          <w:szCs w:val="24"/>
          <w:u w:color="0f243e"/>
          <w:rtl w:val="0"/>
          <w:lang w:val="it-IT"/>
        </w:rPr>
        <w:t>’</w:t>
      </w:r>
      <w:r>
        <w:rPr>
          <w:rStyle w:val="Nessuno"/>
          <w:color w:val="0f243e"/>
          <w:sz w:val="24"/>
          <w:szCs w:val="24"/>
          <w:u w:color="0f243e"/>
          <w:rtl w:val="0"/>
          <w:lang w:val="it-IT"/>
        </w:rPr>
        <w:t xml:space="preserve">altra </w:t>
      </w:r>
      <w:r>
        <w:rPr>
          <w:rStyle w:val="Nessuno"/>
          <w:i w:val="1"/>
          <w:iCs w:val="1"/>
          <w:color w:val="0f243e"/>
          <w:sz w:val="24"/>
          <w:szCs w:val="24"/>
          <w:u w:color="0f243e"/>
          <w:rtl w:val="0"/>
          <w:lang w:val="it-IT"/>
        </w:rPr>
        <w:t>fake new</w:t>
      </w:r>
      <w:r>
        <w:rPr>
          <w:rStyle w:val="Nessuno"/>
          <w:color w:val="0f243e"/>
          <w:sz w:val="24"/>
          <w:szCs w:val="24"/>
          <w:u w:color="0f243e"/>
          <w:rtl w:val="0"/>
          <w:lang w:val="it-IT"/>
        </w:rPr>
        <w:t xml:space="preserve"> che imperversa in maniera ricorrente.</w:t>
      </w:r>
      <w:r>
        <w:rPr>
          <w:rStyle w:val="Nessuno"/>
          <w:color w:val="0f243e"/>
          <w:sz w:val="24"/>
          <w:szCs w:val="24"/>
          <w:u w:color="0f243e"/>
        </w:rPr>
        <w:br w:type="textWrapping"/>
      </w:r>
      <w:r>
        <w:rPr>
          <w:rStyle w:val="Nessuno"/>
          <w:color w:val="0f243e"/>
          <w:sz w:val="24"/>
          <w:szCs w:val="24"/>
          <w:u w:color="0f243e"/>
          <w:rtl w:val="0"/>
          <w:lang w:val="it-IT"/>
        </w:rPr>
        <w:t xml:space="preserve">Una sorta di scontro ideologico tra fautori del rigore, alla continua ricerca di risorse economiche (spacciate come azioni di </w:t>
      </w:r>
      <w:r>
        <w:rPr>
          <w:rStyle w:val="Nessuno"/>
          <w:i w:val="1"/>
          <w:iCs w:val="1"/>
          <w:color w:val="0f243e"/>
          <w:sz w:val="24"/>
          <w:szCs w:val="24"/>
          <w:u w:color="0f243e"/>
          <w:rtl w:val="0"/>
          <w:lang w:val="it-IT"/>
        </w:rPr>
        <w:t>spending review</w:t>
      </w:r>
      <w:r>
        <w:rPr>
          <w:rStyle w:val="Nessuno"/>
          <w:color w:val="0f243e"/>
          <w:sz w:val="24"/>
          <w:szCs w:val="24"/>
          <w:u w:color="0f243e"/>
          <w:rtl w:val="0"/>
          <w:lang w:val="it-IT"/>
        </w:rPr>
        <w:t>) da spostare in favore di lobby,  e coloro che parlano di costi standard da applicare alla scuola, come se si trattasse dell</w:t>
      </w:r>
      <w:r>
        <w:rPr>
          <w:rStyle w:val="Nessuno"/>
          <w:color w:val="0f243e"/>
          <w:sz w:val="24"/>
          <w:szCs w:val="24"/>
          <w:u w:color="0f243e"/>
          <w:rtl w:val="0"/>
          <w:lang w:val="it-IT"/>
        </w:rPr>
        <w:t>’</w:t>
      </w:r>
      <w:r>
        <w:rPr>
          <w:rStyle w:val="Nessuno"/>
          <w:color w:val="0f243e"/>
          <w:sz w:val="24"/>
          <w:szCs w:val="24"/>
          <w:u w:color="0f243e"/>
          <w:rtl w:val="0"/>
          <w:lang w:val="it-IT"/>
        </w:rPr>
        <w:t xml:space="preserve">acquisto di strumenti e macchinari. Due modi profondamente sbagliati di guardare alla scuola, che invece </w:t>
      </w:r>
      <w:r>
        <w:rPr>
          <w:rStyle w:val="Nessuno"/>
          <w:color w:val="0f243e"/>
          <w:sz w:val="24"/>
          <w:szCs w:val="24"/>
          <w:u w:color="0f243e"/>
          <w:rtl w:val="0"/>
          <w:lang w:val="it-IT"/>
        </w:rPr>
        <w:t xml:space="preserve">è </w:t>
      </w:r>
      <w:r>
        <w:rPr>
          <w:rStyle w:val="Nessuno"/>
          <w:color w:val="0f243e"/>
          <w:sz w:val="24"/>
          <w:szCs w:val="24"/>
          <w:u w:color="0f243e"/>
          <w:rtl w:val="0"/>
          <w:lang w:val="it-IT"/>
        </w:rPr>
        <w:t>comunit</w:t>
      </w:r>
      <w:r>
        <w:rPr>
          <w:rStyle w:val="Nessuno"/>
          <w:color w:val="0f243e"/>
          <w:sz w:val="24"/>
          <w:szCs w:val="24"/>
          <w:u w:color="0f243e"/>
          <w:rtl w:val="0"/>
          <w:lang w:val="it-IT"/>
        </w:rPr>
        <w:t>à</w:t>
      </w:r>
      <w:r>
        <w:rPr>
          <w:rStyle w:val="Nessuno"/>
          <w:color w:val="0f243e"/>
          <w:sz w:val="24"/>
          <w:szCs w:val="24"/>
          <w:u w:color="0f243e"/>
          <w:rtl w:val="0"/>
          <w:lang w:val="it-IT"/>
        </w:rPr>
        <w:t>,  sede di partecipazione e di democrazia.</w:t>
      </w:r>
    </w:p>
    <w:p>
      <w:pPr>
        <w:pStyle w:val="Normale"/>
        <w:ind w:left="567" w:right="981" w:firstLine="0"/>
        <w:rPr>
          <w:rStyle w:val="Nessuno"/>
          <w:b w:val="1"/>
          <w:bCs w:val="1"/>
          <w:color w:val="0f243e"/>
          <w:sz w:val="24"/>
          <w:szCs w:val="24"/>
          <w:u w:color="0f243e"/>
        </w:rPr>
      </w:pPr>
      <w:r>
        <w:rPr>
          <w:rStyle w:val="Nessuno"/>
          <w:b w:val="1"/>
          <w:bCs w:val="1"/>
          <w:color w:val="0f243e"/>
          <w:sz w:val="24"/>
          <w:szCs w:val="24"/>
          <w:u w:color="0f243e"/>
          <w:rtl w:val="0"/>
          <w:lang w:val="it-IT"/>
        </w:rPr>
        <w:t>Nel rapporto studenti - docente l</w:t>
      </w:r>
      <w:r>
        <w:rPr>
          <w:rStyle w:val="Nessuno"/>
          <w:b w:val="1"/>
          <w:bCs w:val="1"/>
          <w:color w:val="0f243e"/>
          <w:sz w:val="24"/>
          <w:szCs w:val="24"/>
          <w:u w:color="0f243e"/>
          <w:rtl w:val="0"/>
          <w:lang w:val="it-IT"/>
        </w:rPr>
        <w:t>’</w:t>
      </w:r>
      <w:r>
        <w:rPr>
          <w:rStyle w:val="Nessuno"/>
          <w:b w:val="1"/>
          <w:bCs w:val="1"/>
          <w:color w:val="0f243e"/>
          <w:sz w:val="24"/>
          <w:szCs w:val="24"/>
          <w:u w:color="0f243e"/>
          <w:rtl w:val="0"/>
          <w:lang w:val="it-IT"/>
        </w:rPr>
        <w:t xml:space="preserve">Italia </w:t>
      </w:r>
      <w:r>
        <w:rPr>
          <w:rStyle w:val="Nessuno"/>
          <w:b w:val="1"/>
          <w:bCs w:val="1"/>
          <w:color w:val="0f243e"/>
          <w:sz w:val="24"/>
          <w:szCs w:val="24"/>
          <w:u w:color="0f243e"/>
          <w:rtl w:val="0"/>
          <w:lang w:val="it-IT"/>
        </w:rPr>
        <w:t xml:space="preserve">è </w:t>
      </w:r>
      <w:r>
        <w:rPr>
          <w:rStyle w:val="Nessuno"/>
          <w:b w:val="1"/>
          <w:bCs w:val="1"/>
          <w:color w:val="0f243e"/>
          <w:sz w:val="24"/>
          <w:szCs w:val="24"/>
          <w:u w:color="0f243e"/>
          <w:rtl w:val="0"/>
          <w:lang w:val="it-IT"/>
        </w:rPr>
        <w:t>perfettamente in linea con la media europea.</w:t>
      </w:r>
    </w:p>
    <w:p>
      <w:pPr>
        <w:pStyle w:val="Normale"/>
        <w:ind w:left="567" w:right="981" w:firstLine="0"/>
        <w:rPr>
          <w:rStyle w:val="Nessuno"/>
          <w:color w:val="0f243e"/>
          <w:sz w:val="24"/>
          <w:szCs w:val="24"/>
          <w:u w:color="0f243e"/>
        </w:rPr>
      </w:pPr>
      <w:r>
        <w:rPr>
          <w:rStyle w:val="Nessuno"/>
          <w:b w:val="1"/>
          <w:bCs w:val="1"/>
          <w:color w:val="0f243e"/>
          <w:sz w:val="24"/>
          <w:szCs w:val="24"/>
          <w:u w:color="0f243e"/>
          <w:rtl w:val="0"/>
          <w:lang w:val="it-IT"/>
        </w:rPr>
        <w:t xml:space="preserve">Il dato medio europeo, secondo il rapporto OCSE 2016, </w:t>
      </w:r>
      <w:r>
        <w:rPr>
          <w:rStyle w:val="Nessuno"/>
          <w:b w:val="1"/>
          <w:bCs w:val="1"/>
          <w:color w:val="0f243e"/>
          <w:sz w:val="24"/>
          <w:szCs w:val="24"/>
          <w:u w:color="0f243e"/>
          <w:rtl w:val="0"/>
          <w:lang w:val="it-IT"/>
        </w:rPr>
        <w:t xml:space="preserve">è </w:t>
      </w:r>
      <w:r>
        <w:rPr>
          <w:rStyle w:val="Nessuno"/>
          <w:b w:val="1"/>
          <w:bCs w:val="1"/>
          <w:color w:val="0f243e"/>
          <w:sz w:val="24"/>
          <w:szCs w:val="24"/>
          <w:u w:color="0f243e"/>
          <w:rtl w:val="0"/>
          <w:lang w:val="it-IT"/>
        </w:rPr>
        <w:t xml:space="preserve">di 14 studenti per insegnante. </w:t>
      </w:r>
      <w:r>
        <w:rPr>
          <w:rStyle w:val="Nessuno"/>
          <w:b w:val="1"/>
          <w:bCs w:val="1"/>
          <w:color w:val="0f243e"/>
          <w:sz w:val="24"/>
          <w:szCs w:val="24"/>
          <w:u w:color="0f243e"/>
        </w:rPr>
        <w:br w:type="textWrapping"/>
      </w:r>
      <w:r>
        <w:rPr>
          <w:rStyle w:val="Nessuno"/>
          <w:b w:val="1"/>
          <w:bCs w:val="1"/>
          <w:color w:val="0f243e"/>
          <w:sz w:val="24"/>
          <w:szCs w:val="24"/>
          <w:u w:color="0f243e"/>
          <w:rtl w:val="0"/>
          <w:lang w:val="it-IT"/>
        </w:rPr>
        <w:t>Nel calcolo dell</w:t>
      </w:r>
      <w:r>
        <w:rPr>
          <w:rStyle w:val="Nessuno"/>
          <w:b w:val="1"/>
          <w:bCs w:val="1"/>
          <w:color w:val="0f243e"/>
          <w:sz w:val="24"/>
          <w:szCs w:val="24"/>
          <w:u w:color="0f243e"/>
          <w:rtl w:val="0"/>
          <w:lang w:val="it-IT"/>
        </w:rPr>
        <w:t>’</w:t>
      </w:r>
      <w:r>
        <w:rPr>
          <w:rStyle w:val="Nessuno"/>
          <w:b w:val="1"/>
          <w:bCs w:val="1"/>
          <w:color w:val="0f243e"/>
          <w:sz w:val="24"/>
          <w:szCs w:val="24"/>
          <w:u w:color="0f243e"/>
          <w:rtl w:val="0"/>
          <w:lang w:val="it-IT"/>
        </w:rPr>
        <w:t>edizione 2016 non erano presi in considerazione due aspetti caratterizzanti del nostro sistema educativo: la presenza degli insegnati di sostegno</w:t>
      </w:r>
      <w:r>
        <w:rPr>
          <w:rStyle w:val="Nessuno"/>
          <w:color w:val="0f243e"/>
          <w:sz w:val="24"/>
          <w:szCs w:val="24"/>
          <w:u w:color="0f243e"/>
          <w:rtl w:val="0"/>
          <w:lang w:val="it-IT"/>
        </w:rPr>
        <w:t>.</w:t>
      </w:r>
      <w:r>
        <w:rPr>
          <w:rStyle w:val="Nessuno"/>
          <w:color w:val="0f243e"/>
          <w:sz w:val="24"/>
          <w:szCs w:val="24"/>
          <w:u w:color="0f243e"/>
        </w:rPr>
        <w:br w:type="textWrapping"/>
      </w:r>
      <w:r>
        <w:rPr>
          <w:rStyle w:val="Nessuno"/>
          <w:color w:val="0f243e"/>
          <w:sz w:val="24"/>
          <w:szCs w:val="24"/>
          <w:u w:color="0f243e"/>
          <w:rtl w:val="0"/>
          <w:lang w:val="it-IT"/>
        </w:rPr>
        <w:t xml:space="preserve">Quella italiana </w:t>
      </w:r>
      <w:r>
        <w:rPr>
          <w:rStyle w:val="Nessuno"/>
          <w:color w:val="0f243e"/>
          <w:sz w:val="24"/>
          <w:szCs w:val="24"/>
          <w:u w:color="0f243e"/>
          <w:rtl w:val="0"/>
          <w:lang w:val="it-IT"/>
        </w:rPr>
        <w:t xml:space="preserve">è </w:t>
      </w:r>
      <w:r>
        <w:rPr>
          <w:rStyle w:val="Nessuno"/>
          <w:color w:val="0f243e"/>
          <w:sz w:val="24"/>
          <w:szCs w:val="24"/>
          <w:u w:color="0f243e"/>
          <w:rtl w:val="0"/>
          <w:lang w:val="it-IT"/>
        </w:rPr>
        <w:t xml:space="preserve">una esperienza generalizzata sul sostegno ancora unica in Europa. </w:t>
      </w:r>
      <w:r>
        <w:rPr>
          <w:rStyle w:val="Nessuno"/>
          <w:color w:val="0f243e"/>
          <w:sz w:val="24"/>
          <w:szCs w:val="24"/>
          <w:u w:color="0f243e"/>
        </w:rPr>
        <w:br w:type="textWrapping"/>
      </w:r>
      <w:r>
        <w:rPr>
          <w:rStyle w:val="Nessuno"/>
          <w:color w:val="0f243e"/>
          <w:sz w:val="24"/>
          <w:szCs w:val="24"/>
          <w:u w:color="0f243e"/>
          <w:rtl w:val="0"/>
          <w:lang w:val="it-IT"/>
        </w:rPr>
        <w:t>Una modalit</w:t>
      </w:r>
      <w:r>
        <w:rPr>
          <w:rStyle w:val="Nessuno"/>
          <w:color w:val="0f243e"/>
          <w:sz w:val="24"/>
          <w:szCs w:val="24"/>
          <w:u w:color="0f243e"/>
          <w:rtl w:val="0"/>
          <w:lang w:val="it-IT"/>
        </w:rPr>
        <w:t xml:space="preserve">à </w:t>
      </w:r>
      <w:r>
        <w:rPr>
          <w:rStyle w:val="Nessuno"/>
          <w:color w:val="0f243e"/>
          <w:sz w:val="24"/>
          <w:szCs w:val="24"/>
          <w:u w:color="0f243e"/>
          <w:rtl w:val="0"/>
          <w:lang w:val="it-IT"/>
        </w:rPr>
        <w:t>di integrazione che molti Paesi stanno studiando perch</w:t>
      </w:r>
      <w:r>
        <w:rPr>
          <w:rStyle w:val="Nessuno"/>
          <w:color w:val="0f243e"/>
          <w:sz w:val="24"/>
          <w:szCs w:val="24"/>
          <w:u w:color="0f243e"/>
          <w:rtl w:val="0"/>
          <w:lang w:val="it-IT"/>
        </w:rPr>
        <w:t xml:space="preserve">é </w:t>
      </w:r>
      <w:r>
        <w:rPr>
          <w:rStyle w:val="Nessuno"/>
          <w:color w:val="0f243e"/>
          <w:sz w:val="24"/>
          <w:szCs w:val="24"/>
          <w:u w:color="0f243e"/>
          <w:rtl w:val="0"/>
          <w:lang w:val="it-IT"/>
        </w:rPr>
        <w:t>ne apprezzano le finalit</w:t>
      </w:r>
      <w:r>
        <w:rPr>
          <w:rStyle w:val="Nessuno"/>
          <w:color w:val="0f243e"/>
          <w:sz w:val="24"/>
          <w:szCs w:val="24"/>
          <w:u w:color="0f243e"/>
          <w:rtl w:val="0"/>
          <w:lang w:val="it-IT"/>
        </w:rPr>
        <w:t xml:space="preserve">à </w:t>
      </w:r>
      <w:r>
        <w:rPr>
          <w:rStyle w:val="Nessuno"/>
          <w:color w:val="0f243e"/>
          <w:sz w:val="24"/>
          <w:szCs w:val="24"/>
          <w:u w:color="0f243e"/>
          <w:rtl w:val="0"/>
          <w:lang w:val="it-IT"/>
        </w:rPr>
        <w:t>di integrazione, di lotta all</w:t>
      </w:r>
      <w:r>
        <w:rPr>
          <w:rStyle w:val="Nessuno"/>
          <w:color w:val="0f243e"/>
          <w:sz w:val="24"/>
          <w:szCs w:val="24"/>
          <w:u w:color="0f243e"/>
          <w:rtl w:val="0"/>
          <w:lang w:val="it-IT"/>
        </w:rPr>
        <w:t>’</w:t>
      </w:r>
      <w:r>
        <w:rPr>
          <w:rStyle w:val="Nessuno"/>
          <w:color w:val="0f243e"/>
          <w:sz w:val="24"/>
          <w:szCs w:val="24"/>
          <w:u w:color="0f243e"/>
          <w:rtl w:val="0"/>
          <w:lang w:val="it-IT"/>
        </w:rPr>
        <w:t>esclusione e di ulteriori ricadute sulla societ</w:t>
      </w:r>
      <w:r>
        <w:rPr>
          <w:rStyle w:val="Nessuno"/>
          <w:color w:val="0f243e"/>
          <w:sz w:val="24"/>
          <w:szCs w:val="24"/>
          <w:u w:color="0f243e"/>
          <w:rtl w:val="0"/>
          <w:lang w:val="it-IT"/>
        </w:rPr>
        <w:t xml:space="preserve">à </w:t>
      </w:r>
      <w:r>
        <w:rPr>
          <w:rStyle w:val="Nessuno"/>
          <w:color w:val="0f243e"/>
          <w:sz w:val="24"/>
          <w:szCs w:val="24"/>
          <w:u w:color="0f243e"/>
          <w:rtl w:val="0"/>
          <w:lang w:val="it-IT"/>
        </w:rPr>
        <w:t>in termini di socializzazione, educazione al rispetto della diversit</w:t>
      </w:r>
      <w:r>
        <w:rPr>
          <w:rStyle w:val="Nessuno"/>
          <w:color w:val="0f243e"/>
          <w:sz w:val="24"/>
          <w:szCs w:val="24"/>
          <w:u w:color="0f243e"/>
          <w:rtl w:val="0"/>
          <w:lang w:val="it-IT"/>
        </w:rPr>
        <w:t xml:space="preserve">à </w:t>
      </w:r>
      <w:r>
        <w:rPr>
          <w:rStyle w:val="Nessuno"/>
          <w:color w:val="0f243e"/>
          <w:sz w:val="24"/>
          <w:szCs w:val="24"/>
          <w:u w:color="0f243e"/>
          <w:rtl w:val="0"/>
          <w:lang w:val="it-IT"/>
        </w:rPr>
        <w:t>e di lotta al bullismo nei confronti dei pi</w:t>
      </w:r>
      <w:r>
        <w:rPr>
          <w:rStyle w:val="Nessuno"/>
          <w:color w:val="0f243e"/>
          <w:sz w:val="24"/>
          <w:szCs w:val="24"/>
          <w:u w:color="0f243e"/>
          <w:rtl w:val="0"/>
          <w:lang w:val="it-IT"/>
        </w:rPr>
        <w:t xml:space="preserve">ù </w:t>
      </w:r>
      <w:r>
        <w:rPr>
          <w:rStyle w:val="Nessuno"/>
          <w:color w:val="0f243e"/>
          <w:sz w:val="24"/>
          <w:szCs w:val="24"/>
          <w:u w:color="0f243e"/>
          <w:rtl w:val="0"/>
          <w:lang w:val="it-IT"/>
        </w:rPr>
        <w:t xml:space="preserve">deboli. Nel rapporto Ocse non erano inclusi nel calcolo </w:t>
      </w:r>
      <w:r>
        <w:rPr>
          <w:rStyle w:val="Nessuno"/>
          <w:b w:val="1"/>
          <w:bCs w:val="1"/>
          <w:color w:val="0f243e"/>
          <w:sz w:val="24"/>
          <w:szCs w:val="24"/>
          <w:u w:color="0f243e"/>
          <w:rtl w:val="0"/>
          <w:lang w:val="it-IT"/>
        </w:rPr>
        <w:t>gli insegnanti di religione cattolica</w:t>
      </w:r>
      <w:r>
        <w:rPr>
          <w:rStyle w:val="Nessuno"/>
          <w:color w:val="0f243e"/>
          <w:sz w:val="24"/>
          <w:szCs w:val="24"/>
          <w:u w:color="0f243e"/>
          <w:rtl w:val="0"/>
          <w:lang w:val="it-IT"/>
        </w:rPr>
        <w:t>, scelta che il nostro Parlamento ha effettuato nel 2003.</w:t>
      </w:r>
    </w:p>
    <w:p>
      <w:pPr>
        <w:pStyle w:val="Normale"/>
        <w:ind w:left="567" w:right="981" w:firstLine="0"/>
        <w:rPr>
          <w:rStyle w:val="Nessuno"/>
          <w:color w:val="0f243e"/>
          <w:sz w:val="24"/>
          <w:szCs w:val="24"/>
          <w:u w:color="0f243e"/>
        </w:rPr>
      </w:pPr>
      <w:r>
        <w:rPr>
          <w:rStyle w:val="Nessuno"/>
          <w:color w:val="0f243e"/>
          <w:sz w:val="24"/>
          <w:szCs w:val="24"/>
          <w:u w:color="0f243e"/>
          <w:rtl w:val="0"/>
          <w:lang w:val="it-IT"/>
        </w:rPr>
        <w:t xml:space="preserve">Se  dunque rapportiamo queste presenze tutte italiane, vedremo  che il rapporto </w:t>
      </w:r>
      <w:r>
        <w:rPr>
          <w:rStyle w:val="Nessuno"/>
          <w:b w:val="1"/>
          <w:bCs w:val="1"/>
          <w:color w:val="0f243e"/>
          <w:sz w:val="24"/>
          <w:szCs w:val="24"/>
          <w:u w:color="0f243e"/>
          <w:rtl w:val="0"/>
          <w:lang w:val="it-IT"/>
        </w:rPr>
        <w:t xml:space="preserve">studenti/docente in Italia </w:t>
      </w:r>
      <w:r>
        <w:rPr>
          <w:rStyle w:val="Nessuno"/>
          <w:b w:val="1"/>
          <w:bCs w:val="1"/>
          <w:color w:val="0f243e"/>
          <w:sz w:val="24"/>
          <w:szCs w:val="24"/>
          <w:u w:color="0f243e"/>
          <w:rtl w:val="0"/>
          <w:lang w:val="it-IT"/>
        </w:rPr>
        <w:t xml:space="preserve">è </w:t>
      </w:r>
      <w:r>
        <w:rPr>
          <w:rStyle w:val="Nessuno"/>
          <w:b w:val="1"/>
          <w:bCs w:val="1"/>
          <w:color w:val="0f243e"/>
          <w:sz w:val="24"/>
          <w:szCs w:val="24"/>
          <w:u w:color="0f243e"/>
          <w:rtl w:val="0"/>
          <w:lang w:val="it-IT"/>
        </w:rPr>
        <w:t>anche superiore alla media europea: 14,71 contro 14:</w:t>
      </w:r>
    </w:p>
    <w:p>
      <w:pPr>
        <w:pStyle w:val="Normale"/>
        <w:jc w:val="both"/>
        <w:rPr>
          <w:rStyle w:val="Nessuno"/>
          <w:sz w:val="24"/>
          <w:szCs w:val="24"/>
        </w:rPr>
      </w:pPr>
      <w:r>
        <w:rPr>
          <w:rStyle w:val="Nessuno"/>
          <w:color w:val="474747"/>
          <w:sz w:val="18"/>
          <w:szCs w:val="18"/>
          <w:u w:color="474747"/>
        </w:rPr>
        <w:drawing>
          <wp:inline distT="0" distB="0" distL="0" distR="0">
            <wp:extent cx="6495898" cy="1774851"/>
            <wp:effectExtent l="0" t="0" r="0" b="0"/>
            <wp:docPr id="1073741834" name="officeArt object" descr="http://www.orizzontescuola.it/wp-content/uploads/2017/08/docenti6-600x164.gif"/>
            <wp:cNvGraphicFramePr/>
            <a:graphic xmlns:a="http://schemas.openxmlformats.org/drawingml/2006/main">
              <a:graphicData uri="http://schemas.openxmlformats.org/drawingml/2006/picture">
                <pic:pic xmlns:pic="http://schemas.openxmlformats.org/drawingml/2006/picture">
                  <pic:nvPicPr>
                    <pic:cNvPr id="1073741834" name="image001.gif@01D3361E.png" descr="http://www.orizzontescuola.it/wp-content/uploads/2017/08/docenti6-600x164.gif"/>
                    <pic:cNvPicPr>
                      <a:picLocks noChangeAspect="1"/>
                    </pic:cNvPicPr>
                  </pic:nvPicPr>
                  <pic:blipFill>
                    <a:blip r:embed="rId10">
                      <a:extLst/>
                    </a:blip>
                    <a:stretch>
                      <a:fillRect/>
                    </a:stretch>
                  </pic:blipFill>
                  <pic:spPr>
                    <a:xfrm>
                      <a:off x="0" y="0"/>
                      <a:ext cx="6495898" cy="1774851"/>
                    </a:xfrm>
                    <a:prstGeom prst="rect">
                      <a:avLst/>
                    </a:prstGeom>
                    <a:ln w="12700" cap="flat">
                      <a:noFill/>
                      <a:miter lim="400000"/>
                    </a:ln>
                    <a:effectLst/>
                  </pic:spPr>
                </pic:pic>
              </a:graphicData>
            </a:graphic>
          </wp:inline>
        </w:drawing>
      </w:r>
    </w:p>
    <w:p>
      <w:pPr>
        <w:pStyle w:val="Normale"/>
        <w:tabs>
          <w:tab w:val="left" w:pos="-9506"/>
        </w:tabs>
        <w:ind w:left="709" w:right="981" w:firstLine="0"/>
        <w:jc w:val="both"/>
        <w:rPr>
          <w:rStyle w:val="Nessuno"/>
          <w:b w:val="1"/>
          <w:bCs w:val="1"/>
          <w:color w:val="0f243e"/>
          <w:sz w:val="24"/>
          <w:szCs w:val="24"/>
          <w:u w:color="0f243e"/>
        </w:rPr>
      </w:pPr>
    </w:p>
    <w:p>
      <w:pPr>
        <w:pStyle w:val="Normale"/>
        <w:tabs>
          <w:tab w:val="left" w:pos="-9506"/>
        </w:tabs>
        <w:ind w:left="709" w:right="981" w:firstLine="0"/>
        <w:jc w:val="both"/>
        <w:rPr>
          <w:rStyle w:val="Nessuno"/>
          <w:color w:val="0f243e"/>
          <w:sz w:val="24"/>
          <w:szCs w:val="24"/>
          <w:u w:color="0f243e"/>
        </w:rPr>
      </w:pPr>
      <w:r>
        <w:rPr>
          <w:rStyle w:val="Nessuno"/>
          <w:b w:val="1"/>
          <w:bCs w:val="1"/>
          <w:color w:val="0f243e"/>
          <w:sz w:val="24"/>
          <w:szCs w:val="24"/>
          <w:u w:color="0f243e"/>
          <w:rtl w:val="0"/>
          <w:lang w:val="it-IT"/>
        </w:rPr>
        <w:t>Nell</w:t>
      </w:r>
      <w:r>
        <w:rPr>
          <w:rStyle w:val="Nessuno"/>
          <w:b w:val="1"/>
          <w:bCs w:val="1"/>
          <w:color w:val="0f243e"/>
          <w:sz w:val="24"/>
          <w:szCs w:val="24"/>
          <w:u w:color="0f243e"/>
          <w:rtl w:val="0"/>
          <w:lang w:val="it-IT"/>
        </w:rPr>
        <w:t>’</w:t>
      </w:r>
      <w:r>
        <w:rPr>
          <w:rStyle w:val="Nessuno"/>
          <w:b w:val="1"/>
          <w:bCs w:val="1"/>
          <w:color w:val="0f243e"/>
          <w:sz w:val="24"/>
          <w:szCs w:val="24"/>
          <w:u w:color="0f243e"/>
          <w:rtl w:val="0"/>
          <w:lang w:val="it-IT"/>
        </w:rPr>
        <w:t>edizione di quest</w:t>
      </w:r>
      <w:r>
        <w:rPr>
          <w:rStyle w:val="Nessuno"/>
          <w:b w:val="1"/>
          <w:bCs w:val="1"/>
          <w:color w:val="0f243e"/>
          <w:sz w:val="24"/>
          <w:szCs w:val="24"/>
          <w:u w:color="0f243e"/>
          <w:rtl w:val="0"/>
          <w:lang w:val="it-IT"/>
        </w:rPr>
        <w:t>’</w:t>
      </w:r>
      <w:r>
        <w:rPr>
          <w:rStyle w:val="Nessuno"/>
          <w:b w:val="1"/>
          <w:bCs w:val="1"/>
          <w:color w:val="0f243e"/>
          <w:sz w:val="24"/>
          <w:szCs w:val="24"/>
          <w:u w:color="0f243e"/>
          <w:rtl w:val="0"/>
          <w:lang w:val="it-IT"/>
        </w:rPr>
        <w:t xml:space="preserve">anno di </w:t>
      </w:r>
      <w:r>
        <w:rPr>
          <w:rStyle w:val="Nessuno"/>
          <w:b w:val="1"/>
          <w:bCs w:val="1"/>
          <w:color w:val="0f243e"/>
          <w:sz w:val="24"/>
          <w:szCs w:val="24"/>
          <w:u w:color="0f243e"/>
          <w:rtl w:val="0"/>
          <w:lang w:val="it-IT"/>
        </w:rPr>
        <w:t>“</w:t>
      </w:r>
      <w:r>
        <w:rPr>
          <w:rStyle w:val="Nessuno"/>
          <w:b w:val="1"/>
          <w:bCs w:val="1"/>
          <w:color w:val="0f243e"/>
          <w:sz w:val="24"/>
          <w:szCs w:val="24"/>
          <w:u w:color="0f243e"/>
          <w:rtl w:val="0"/>
          <w:lang w:val="it-IT"/>
        </w:rPr>
        <w:t>Regards sur l</w:t>
      </w:r>
      <w:r>
        <w:rPr>
          <w:rStyle w:val="Nessuno"/>
          <w:b w:val="1"/>
          <w:bCs w:val="1"/>
          <w:color w:val="0f243e"/>
          <w:sz w:val="24"/>
          <w:szCs w:val="24"/>
          <w:u w:color="0f243e"/>
          <w:rtl w:val="0"/>
          <w:lang w:val="it-IT"/>
        </w:rPr>
        <w:t>’é</w:t>
      </w:r>
      <w:r>
        <w:rPr>
          <w:rStyle w:val="Nessuno"/>
          <w:b w:val="1"/>
          <w:bCs w:val="1"/>
          <w:color w:val="0f243e"/>
          <w:sz w:val="24"/>
          <w:szCs w:val="24"/>
          <w:u w:color="0f243e"/>
          <w:rtl w:val="0"/>
          <w:lang w:val="it-IT"/>
        </w:rPr>
        <w:t>ducation</w:t>
      </w:r>
      <w:r>
        <w:rPr>
          <w:rStyle w:val="Nessuno"/>
          <w:b w:val="1"/>
          <w:bCs w:val="1"/>
          <w:color w:val="0f243e"/>
          <w:sz w:val="24"/>
          <w:szCs w:val="24"/>
          <w:u w:color="0f243e"/>
          <w:rtl w:val="0"/>
          <w:lang w:val="it-IT"/>
        </w:rPr>
        <w:t xml:space="preserve">” </w:t>
      </w:r>
      <w:r>
        <w:rPr>
          <w:rStyle w:val="Nessuno"/>
          <w:b w:val="1"/>
          <w:bCs w:val="1"/>
          <w:color w:val="0f243e"/>
          <w:sz w:val="24"/>
          <w:szCs w:val="24"/>
          <w:u w:color="0f243e"/>
          <w:rtl w:val="0"/>
          <w:lang w:val="it-IT"/>
        </w:rPr>
        <w:t>(2017),</w:t>
      </w:r>
      <w:r>
        <w:rPr>
          <w:rStyle w:val="Nessuno"/>
          <w:color w:val="0f243e"/>
          <w:sz w:val="24"/>
          <w:szCs w:val="24"/>
          <w:u w:color="0f243e"/>
          <w:rtl w:val="0"/>
          <w:lang w:val="it-IT"/>
        </w:rPr>
        <w:t xml:space="preserve"> </w:t>
      </w:r>
      <w:r>
        <w:rPr>
          <w:rStyle w:val="Nessuno"/>
          <w:b w:val="1"/>
          <w:bCs w:val="1"/>
          <w:color w:val="0f243e"/>
          <w:sz w:val="24"/>
          <w:szCs w:val="24"/>
          <w:u w:color="0f243e"/>
          <w:rtl w:val="0"/>
          <w:lang w:val="it-IT"/>
        </w:rPr>
        <w:t>l</w:t>
      </w:r>
      <w:r>
        <w:rPr>
          <w:rStyle w:val="Nessuno"/>
          <w:b w:val="1"/>
          <w:bCs w:val="1"/>
          <w:color w:val="0f243e"/>
          <w:sz w:val="24"/>
          <w:szCs w:val="24"/>
          <w:u w:color="0f243e"/>
          <w:rtl w:val="0"/>
          <w:lang w:val="it-IT"/>
        </w:rPr>
        <w:t>’</w:t>
      </w:r>
      <w:r>
        <w:rPr>
          <w:rStyle w:val="Nessuno"/>
          <w:b w:val="1"/>
          <w:bCs w:val="1"/>
          <w:color w:val="0f243e"/>
          <w:sz w:val="24"/>
          <w:szCs w:val="24"/>
          <w:u w:color="0f243e"/>
          <w:rtl w:val="0"/>
          <w:lang w:val="it-IT"/>
        </w:rPr>
        <w:t>OCSE fornisce un ulteriore dato relativo alla media di studenti per classe</w:t>
      </w:r>
      <w:r>
        <w:rPr>
          <w:rStyle w:val="Nessuno"/>
          <w:color w:val="0f243e"/>
          <w:sz w:val="24"/>
          <w:szCs w:val="24"/>
          <w:u w:color="0f243e"/>
          <w:rtl w:val="0"/>
          <w:lang w:val="it-IT"/>
        </w:rPr>
        <w:t xml:space="preserve">, per la scuola primaria e quella secondaria di  primo grado (per il secondo grado la comparazione </w:t>
      </w:r>
      <w:r>
        <w:rPr>
          <w:rStyle w:val="Nessuno"/>
          <w:color w:val="0f243e"/>
          <w:sz w:val="24"/>
          <w:szCs w:val="24"/>
          <w:u w:color="0f243e"/>
          <w:rtl w:val="0"/>
          <w:lang w:val="it-IT"/>
        </w:rPr>
        <w:t xml:space="preserve">è </w:t>
      </w:r>
      <w:r>
        <w:rPr>
          <w:rStyle w:val="Nessuno"/>
          <w:color w:val="0f243e"/>
          <w:sz w:val="24"/>
          <w:szCs w:val="24"/>
          <w:u w:color="0f243e"/>
          <w:rtl w:val="0"/>
          <w:lang w:val="it-IT"/>
        </w:rPr>
        <w:t>impossibile, perch</w:t>
      </w:r>
      <w:r>
        <w:rPr>
          <w:rStyle w:val="Nessuno"/>
          <w:color w:val="0f243e"/>
          <w:sz w:val="24"/>
          <w:szCs w:val="24"/>
          <w:u w:color="0f243e"/>
          <w:rtl w:val="0"/>
          <w:lang w:val="it-IT"/>
        </w:rPr>
        <w:t xml:space="preserve">é </w:t>
      </w:r>
      <w:r>
        <w:rPr>
          <w:rStyle w:val="Nessuno"/>
          <w:color w:val="0f243e"/>
          <w:sz w:val="24"/>
          <w:szCs w:val="24"/>
          <w:u w:color="0f243e"/>
          <w:rtl w:val="0"/>
          <w:lang w:val="it-IT"/>
        </w:rPr>
        <w:t xml:space="preserve">in moltissimi Paesi il </w:t>
      </w:r>
      <w:r>
        <w:rPr>
          <w:rStyle w:val="Nessuno"/>
          <w:color w:val="0f243e"/>
          <w:sz w:val="24"/>
          <w:szCs w:val="24"/>
          <w:u w:color="0f243e"/>
          <w:rtl w:val="0"/>
          <w:lang w:val="it-IT"/>
        </w:rPr>
        <w:t>“</w:t>
      </w:r>
      <w:r>
        <w:rPr>
          <w:rStyle w:val="Nessuno"/>
          <w:color w:val="0f243e"/>
          <w:sz w:val="24"/>
          <w:szCs w:val="24"/>
          <w:u w:color="0f243e"/>
          <w:rtl w:val="0"/>
          <w:lang w:val="it-IT"/>
        </w:rPr>
        <w:t>gruppo classe</w:t>
      </w:r>
      <w:r>
        <w:rPr>
          <w:rStyle w:val="Nessuno"/>
          <w:color w:val="0f243e"/>
          <w:sz w:val="24"/>
          <w:szCs w:val="24"/>
          <w:u w:color="0f243e"/>
          <w:rtl w:val="0"/>
          <w:lang w:val="it-IT"/>
        </w:rPr>
        <w:t xml:space="preserve">” </w:t>
      </w:r>
      <w:r>
        <w:rPr>
          <w:rStyle w:val="Nessuno"/>
          <w:color w:val="0f243e"/>
          <w:sz w:val="24"/>
          <w:szCs w:val="24"/>
          <w:u w:color="0f243e"/>
          <w:rtl w:val="0"/>
          <w:lang w:val="it-IT"/>
        </w:rPr>
        <w:t>non esiste pi</w:t>
      </w:r>
      <w:r>
        <w:rPr>
          <w:rStyle w:val="Nessuno"/>
          <w:color w:val="0f243e"/>
          <w:sz w:val="24"/>
          <w:szCs w:val="24"/>
          <w:u w:color="0f243e"/>
          <w:rtl w:val="0"/>
          <w:lang w:val="it-IT"/>
        </w:rPr>
        <w:t xml:space="preserve">ù </w:t>
      </w:r>
      <w:r>
        <w:rPr>
          <w:rStyle w:val="Nessuno"/>
          <w:color w:val="0f243e"/>
          <w:sz w:val="24"/>
          <w:szCs w:val="24"/>
          <w:u w:color="0f243e"/>
          <w:rtl w:val="0"/>
          <w:lang w:val="it-IT"/>
        </w:rPr>
        <w:t>per le numerose materie opzionali non obbligatorie che vi si impartiscono e che esaltano l</w:t>
      </w:r>
      <w:r>
        <w:rPr>
          <w:rStyle w:val="Nessuno"/>
          <w:color w:val="0f243e"/>
          <w:sz w:val="24"/>
          <w:szCs w:val="24"/>
          <w:u w:color="0f243e"/>
          <w:rtl w:val="0"/>
          <w:lang w:val="it-IT"/>
        </w:rPr>
        <w:t>’</w:t>
      </w:r>
      <w:r>
        <w:rPr>
          <w:rStyle w:val="Nessuno"/>
          <w:color w:val="0f243e"/>
          <w:sz w:val="24"/>
          <w:szCs w:val="24"/>
          <w:u w:color="0f243e"/>
          <w:rtl w:val="0"/>
          <w:lang w:val="it-IT"/>
        </w:rPr>
        <w:t>insegnamento per piccoli gruppi.</w:t>
      </w:r>
    </w:p>
    <w:p>
      <w:pPr>
        <w:pStyle w:val="Normale"/>
        <w:ind w:left="567" w:right="981" w:firstLine="0"/>
        <w:jc w:val="both"/>
        <w:rPr>
          <w:rStyle w:val="Nessuno"/>
          <w:color w:val="0f243e"/>
          <w:sz w:val="24"/>
          <w:szCs w:val="24"/>
          <w:u w:color="0f243e"/>
        </w:rPr>
      </w:pPr>
    </w:p>
    <w:p>
      <w:pPr>
        <w:pStyle w:val="Normale"/>
        <w:ind w:left="567" w:right="981" w:firstLine="0"/>
        <w:jc w:val="both"/>
        <w:rPr>
          <w:rStyle w:val="Nessuno"/>
          <w:color w:val="0f243e"/>
          <w:sz w:val="24"/>
          <w:szCs w:val="24"/>
          <w:u w:color="0f243e"/>
        </w:rPr>
      </w:pPr>
    </w:p>
    <w:p>
      <w:pPr>
        <w:pStyle w:val="Normale"/>
        <w:ind w:left="567" w:right="981" w:firstLine="0"/>
        <w:jc w:val="both"/>
        <w:rPr>
          <w:rStyle w:val="Nessuno"/>
          <w:color w:val="0f243e"/>
          <w:sz w:val="24"/>
          <w:szCs w:val="24"/>
          <w:u w:color="0f243e"/>
        </w:rPr>
      </w:pPr>
      <w:r>
        <w:rPr>
          <w:rStyle w:val="Nessuno"/>
          <w:color w:val="0f243e"/>
          <w:sz w:val="24"/>
          <w:szCs w:val="24"/>
          <w:u w:color="0f243e"/>
          <w:rtl w:val="0"/>
          <w:lang w:val="it-IT"/>
        </w:rPr>
        <w:t xml:space="preserve">La tabella </w:t>
      </w:r>
      <w:r>
        <w:rPr>
          <w:rStyle w:val="Nessuno"/>
          <w:color w:val="0f243e"/>
          <w:sz w:val="24"/>
          <w:szCs w:val="24"/>
          <w:u w:color="0f243e"/>
          <w:rtl w:val="0"/>
          <w:lang w:val="it-IT"/>
        </w:rPr>
        <w:t xml:space="preserve">è </w:t>
      </w:r>
      <w:r>
        <w:rPr>
          <w:rStyle w:val="Nessuno"/>
          <w:color w:val="0f243e"/>
          <w:sz w:val="24"/>
          <w:szCs w:val="24"/>
          <w:u w:color="0f243e"/>
          <w:rtl w:val="0"/>
          <w:lang w:val="it-IT"/>
        </w:rPr>
        <w:t xml:space="preserve">la seguente, e ci vede </w:t>
      </w:r>
      <w:r>
        <w:rPr>
          <w:rStyle w:val="Nessuno"/>
          <w:b w:val="1"/>
          <w:bCs w:val="1"/>
          <w:color w:val="0f243e"/>
          <w:sz w:val="24"/>
          <w:szCs w:val="24"/>
          <w:u w:color="0f243e"/>
          <w:rtl w:val="0"/>
          <w:lang w:val="it-IT"/>
        </w:rPr>
        <w:t>perfettamente in linea con la media europea.</w:t>
      </w:r>
    </w:p>
    <w:tbl>
      <w:tblPr>
        <w:tblW w:w="767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668"/>
        <w:gridCol w:w="1930"/>
        <w:gridCol w:w="3078"/>
      </w:tblGrid>
      <w:tr>
        <w:tblPrEx>
          <w:shd w:val="clear" w:color="auto" w:fill="ced7e7"/>
        </w:tblPrEx>
        <w:trPr>
          <w:trHeight w:val="896" w:hRule="atLeast"/>
        </w:trPr>
        <w:tc>
          <w:tcPr>
            <w:tcW w:type="dxa" w:w="7676"/>
            <w:gridSpan w:val="3"/>
            <w:tcBorders>
              <w:top w:val="nil"/>
              <w:left w:val="nil"/>
              <w:bottom w:val="single" w:color="000000" w:sz="8" w:space="0" w:shadow="0" w:frame="0"/>
              <w:right w:val="nil"/>
            </w:tcBorders>
            <w:shd w:val="clear" w:color="auto" w:fill="auto"/>
            <w:tcMar>
              <w:top w:type="dxa" w:w="80"/>
              <w:left w:type="dxa" w:w="80"/>
              <w:bottom w:type="dxa" w:w="80"/>
              <w:right w:type="dxa" w:w="80"/>
            </w:tcMar>
            <w:vAlign w:val="center"/>
          </w:tcPr>
          <w:p>
            <w:pPr>
              <w:pStyle w:val="Normale"/>
              <w:spacing w:after="0" w:line="240" w:lineRule="auto"/>
              <w:jc w:val="center"/>
            </w:pPr>
            <w:r>
              <w:rPr>
                <w:rStyle w:val="Nessuno"/>
                <w:color w:val="0f243e"/>
                <w:sz w:val="32"/>
                <w:szCs w:val="32"/>
                <w:u w:color="0f243e"/>
                <w:rtl w:val="0"/>
                <w:lang w:val="it-IT"/>
              </w:rPr>
              <w:t xml:space="preserve">Rapporto OCSE 2017 -  alunni/docente in classe </w:t>
            </w:r>
          </w:p>
        </w:tc>
      </w:tr>
      <w:tr>
        <w:tblPrEx>
          <w:shd w:val="clear" w:color="auto" w:fill="ced7e7"/>
        </w:tblPrEx>
        <w:trPr>
          <w:trHeight w:val="700" w:hRule="atLeast"/>
        </w:trPr>
        <w:tc>
          <w:tcPr>
            <w:tcW w:type="dxa" w:w="2668"/>
            <w:tcBorders>
              <w:top w:val="single" w:color="000000" w:sz="8"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e"/>
              <w:spacing w:after="0" w:line="240" w:lineRule="auto"/>
              <w:jc w:val="center"/>
            </w:pPr>
            <w:r>
              <w:rPr>
                <w:rStyle w:val="Nessuno"/>
                <w:b w:val="1"/>
                <w:bCs w:val="1"/>
                <w:rtl w:val="0"/>
                <w:lang w:val="it-IT"/>
              </w:rPr>
              <w:t xml:space="preserve">scuola primaria </w:t>
            </w:r>
          </w:p>
        </w:tc>
        <w:tc>
          <w:tcPr>
            <w:tcW w:type="dxa" w:w="1930"/>
            <w:tcBorders>
              <w:top w:val="single" w:color="000000" w:sz="8"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e"/>
              <w:spacing w:after="0" w:line="240" w:lineRule="auto"/>
              <w:jc w:val="center"/>
            </w:pPr>
            <w:r>
              <w:rPr>
                <w:rStyle w:val="Nessuno"/>
                <w:b w:val="1"/>
                <w:bCs w:val="1"/>
                <w:rtl w:val="0"/>
                <w:lang w:val="it-IT"/>
              </w:rPr>
              <w:t>scuola primaria</w:t>
            </w:r>
          </w:p>
        </w:tc>
        <w:tc>
          <w:tcPr>
            <w:tcW w:type="dxa" w:w="3078"/>
            <w:tcBorders>
              <w:top w:val="single" w:color="000000" w:sz="8"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e"/>
              <w:spacing w:after="0" w:line="240" w:lineRule="auto"/>
              <w:jc w:val="center"/>
            </w:pPr>
            <w:r>
              <w:rPr>
                <w:rStyle w:val="Nessuno"/>
                <w:b w:val="1"/>
                <w:bCs w:val="1"/>
                <w:rtl w:val="0"/>
                <w:lang w:val="it-IT"/>
              </w:rPr>
              <w:t>scuola secondaria di 1</w:t>
            </w:r>
            <w:r>
              <w:rPr>
                <w:rStyle w:val="Nessuno"/>
                <w:b w:val="1"/>
                <w:bCs w:val="1"/>
                <w:rtl w:val="0"/>
                <w:lang w:val="it-IT"/>
              </w:rPr>
              <w:t xml:space="preserve">° </w:t>
            </w:r>
            <w:r>
              <w:rPr>
                <w:rStyle w:val="Nessuno"/>
                <w:b w:val="1"/>
                <w:bCs w:val="1"/>
                <w:rtl w:val="0"/>
                <w:lang w:val="it-IT"/>
              </w:rPr>
              <w:t>grado</w:t>
            </w:r>
          </w:p>
        </w:tc>
      </w:tr>
      <w:tr>
        <w:tblPrEx>
          <w:shd w:val="clear" w:color="auto" w:fill="ced7e7"/>
        </w:tblPrEx>
        <w:trPr>
          <w:trHeight w:val="240" w:hRule="atLeast"/>
        </w:trPr>
        <w:tc>
          <w:tcPr>
            <w:tcW w:type="dxa" w:w="2668"/>
            <w:tcBorders>
              <w:top w:val="single" w:color="000000" w:sz="8" w:space="0" w:shadow="0" w:frame="0"/>
              <w:left w:val="single" w:color="000000" w:sz="8" w:space="0" w:shadow="0" w:frame="0"/>
              <w:bottom w:val="nil"/>
              <w:right w:val="single" w:color="000000" w:sz="4" w:space="0" w:shadow="0" w:frame="0"/>
            </w:tcBorders>
            <w:shd w:val="clear" w:color="auto" w:fill="auto"/>
            <w:tcMar>
              <w:top w:type="dxa" w:w="80"/>
              <w:left w:type="dxa" w:w="80"/>
              <w:bottom w:type="dxa" w:w="80"/>
              <w:right w:type="dxa" w:w="80"/>
            </w:tcMar>
            <w:vAlign w:val="center"/>
          </w:tcPr>
          <w:p>
            <w:pPr>
              <w:pStyle w:val="Normale"/>
              <w:spacing w:after="0" w:line="240" w:lineRule="auto"/>
            </w:pPr>
            <w:r>
              <w:rPr>
                <w:rStyle w:val="Nessuno"/>
                <w:sz w:val="20"/>
                <w:szCs w:val="20"/>
                <w:rtl w:val="0"/>
                <w:lang w:val="it-IT"/>
              </w:rPr>
              <w:t>Regno Unito</w:t>
            </w:r>
          </w:p>
        </w:tc>
        <w:tc>
          <w:tcPr>
            <w:tcW w:type="dxa" w:w="1930"/>
            <w:tcBorders>
              <w:top w:val="single" w:color="000000" w:sz="8"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pPr>
              <w:pStyle w:val="Normale"/>
              <w:spacing w:after="0" w:line="240" w:lineRule="auto"/>
              <w:jc w:val="center"/>
            </w:pPr>
            <w:r>
              <w:rPr>
                <w:rStyle w:val="Nessuno"/>
                <w:sz w:val="20"/>
                <w:szCs w:val="20"/>
                <w:rtl w:val="0"/>
                <w:lang w:val="it-IT"/>
              </w:rPr>
              <w:t>26</w:t>
            </w:r>
          </w:p>
        </w:tc>
        <w:tc>
          <w:tcPr>
            <w:tcW w:type="dxa" w:w="3078"/>
            <w:tcBorders>
              <w:top w:val="single" w:color="000000" w:sz="8" w:space="0" w:shadow="0" w:frame="0"/>
              <w:left w:val="single" w:color="000000" w:sz="4"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Normale"/>
              <w:spacing w:after="0" w:line="240" w:lineRule="auto"/>
              <w:jc w:val="center"/>
            </w:pPr>
            <w:r>
              <w:rPr>
                <w:rStyle w:val="Nessuno"/>
                <w:sz w:val="20"/>
                <w:szCs w:val="20"/>
                <w:rtl w:val="0"/>
                <w:lang w:val="it-IT"/>
              </w:rPr>
              <w:t>19</w:t>
            </w:r>
          </w:p>
        </w:tc>
      </w:tr>
      <w:tr>
        <w:tblPrEx>
          <w:shd w:val="clear" w:color="auto" w:fill="ced7e7"/>
        </w:tblPrEx>
        <w:trPr>
          <w:trHeight w:val="240" w:hRule="atLeast"/>
        </w:trPr>
        <w:tc>
          <w:tcPr>
            <w:tcW w:type="dxa" w:w="2668"/>
            <w:tcBorders>
              <w:top w:val="nil"/>
              <w:left w:val="single" w:color="000000" w:sz="8" w:space="0" w:shadow="0" w:frame="0"/>
              <w:bottom w:val="nil"/>
              <w:right w:val="single" w:color="000000" w:sz="4" w:space="0" w:shadow="0" w:frame="0"/>
            </w:tcBorders>
            <w:shd w:val="clear" w:color="auto" w:fill="auto"/>
            <w:tcMar>
              <w:top w:type="dxa" w:w="80"/>
              <w:left w:type="dxa" w:w="80"/>
              <w:bottom w:type="dxa" w:w="80"/>
              <w:right w:type="dxa" w:w="80"/>
            </w:tcMar>
            <w:vAlign w:val="center"/>
          </w:tcPr>
          <w:p>
            <w:pPr>
              <w:pStyle w:val="Normale"/>
              <w:spacing w:after="0" w:line="240" w:lineRule="auto"/>
            </w:pPr>
            <w:r>
              <w:rPr>
                <w:rStyle w:val="Nessuno"/>
                <w:sz w:val="20"/>
                <w:szCs w:val="20"/>
                <w:rtl w:val="0"/>
                <w:lang w:val="it-IT"/>
              </w:rPr>
              <w:t>Svezia</w:t>
            </w:r>
          </w:p>
        </w:tc>
        <w:tc>
          <w:tcPr>
            <w:tcW w:type="dxa" w:w="193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pPr>
              <w:pStyle w:val="Normale"/>
              <w:spacing w:after="0" w:line="240" w:lineRule="auto"/>
              <w:jc w:val="center"/>
            </w:pPr>
            <w:r>
              <w:rPr>
                <w:rStyle w:val="Nessuno"/>
                <w:sz w:val="20"/>
                <w:szCs w:val="20"/>
                <w:rtl w:val="0"/>
                <w:lang w:val="it-IT"/>
              </w:rPr>
              <w:t>19</w:t>
            </w:r>
          </w:p>
        </w:tc>
        <w:tc>
          <w:tcPr>
            <w:tcW w:type="dxa" w:w="3078"/>
            <w:tcBorders>
              <w:top w:val="nil"/>
              <w:left w:val="single" w:color="000000" w:sz="4"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Normale"/>
              <w:spacing w:after="0" w:line="240" w:lineRule="auto"/>
              <w:jc w:val="center"/>
            </w:pPr>
            <w:r>
              <w:rPr>
                <w:rStyle w:val="Nessuno"/>
                <w:sz w:val="20"/>
                <w:szCs w:val="20"/>
                <w:rtl w:val="0"/>
                <w:lang w:val="it-IT"/>
              </w:rPr>
              <w:t>21</w:t>
            </w:r>
          </w:p>
        </w:tc>
      </w:tr>
      <w:tr>
        <w:tblPrEx>
          <w:shd w:val="clear" w:color="auto" w:fill="ced7e7"/>
        </w:tblPrEx>
        <w:trPr>
          <w:trHeight w:val="240" w:hRule="atLeast"/>
        </w:trPr>
        <w:tc>
          <w:tcPr>
            <w:tcW w:type="dxa" w:w="2668"/>
            <w:tcBorders>
              <w:top w:val="nil"/>
              <w:left w:val="single" w:color="000000" w:sz="8" w:space="0" w:shadow="0" w:frame="0"/>
              <w:bottom w:val="nil"/>
              <w:right w:val="single" w:color="000000" w:sz="4" w:space="0" w:shadow="0" w:frame="0"/>
            </w:tcBorders>
            <w:shd w:val="clear" w:color="auto" w:fill="auto"/>
            <w:tcMar>
              <w:top w:type="dxa" w:w="80"/>
              <w:left w:type="dxa" w:w="80"/>
              <w:bottom w:type="dxa" w:w="80"/>
              <w:right w:type="dxa" w:w="80"/>
            </w:tcMar>
            <w:vAlign w:val="center"/>
          </w:tcPr>
          <w:p>
            <w:pPr>
              <w:pStyle w:val="Normale"/>
              <w:spacing w:after="0" w:line="240" w:lineRule="auto"/>
            </w:pPr>
            <w:r>
              <w:rPr>
                <w:rStyle w:val="Nessuno"/>
                <w:sz w:val="20"/>
                <w:szCs w:val="20"/>
                <w:rtl w:val="0"/>
                <w:lang w:val="it-IT"/>
              </w:rPr>
              <w:t>Spagna</w:t>
            </w:r>
          </w:p>
        </w:tc>
        <w:tc>
          <w:tcPr>
            <w:tcW w:type="dxa" w:w="193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pPr>
              <w:pStyle w:val="Normale"/>
              <w:spacing w:after="0" w:line="240" w:lineRule="auto"/>
              <w:jc w:val="center"/>
            </w:pPr>
            <w:r>
              <w:rPr>
                <w:rStyle w:val="Nessuno"/>
                <w:sz w:val="20"/>
                <w:szCs w:val="20"/>
                <w:rtl w:val="0"/>
                <w:lang w:val="it-IT"/>
              </w:rPr>
              <w:t>22</w:t>
            </w:r>
          </w:p>
        </w:tc>
        <w:tc>
          <w:tcPr>
            <w:tcW w:type="dxa" w:w="3078"/>
            <w:tcBorders>
              <w:top w:val="nil"/>
              <w:left w:val="single" w:color="000000" w:sz="4"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Normale"/>
              <w:spacing w:after="0" w:line="240" w:lineRule="auto"/>
              <w:jc w:val="center"/>
            </w:pPr>
            <w:r>
              <w:rPr>
                <w:rStyle w:val="Nessuno"/>
                <w:sz w:val="20"/>
                <w:szCs w:val="20"/>
                <w:rtl w:val="0"/>
                <w:lang w:val="it-IT"/>
              </w:rPr>
              <w:t>26</w:t>
            </w:r>
          </w:p>
        </w:tc>
      </w:tr>
      <w:tr>
        <w:tblPrEx>
          <w:shd w:val="clear" w:color="auto" w:fill="ced7e7"/>
        </w:tblPrEx>
        <w:trPr>
          <w:trHeight w:val="240" w:hRule="atLeast"/>
        </w:trPr>
        <w:tc>
          <w:tcPr>
            <w:tcW w:type="dxa" w:w="2668"/>
            <w:tcBorders>
              <w:top w:val="nil"/>
              <w:left w:val="single" w:color="000000" w:sz="8" w:space="0" w:shadow="0" w:frame="0"/>
              <w:bottom w:val="nil"/>
              <w:right w:val="single" w:color="000000" w:sz="4" w:space="0" w:shadow="0" w:frame="0"/>
            </w:tcBorders>
            <w:shd w:val="clear" w:color="auto" w:fill="auto"/>
            <w:tcMar>
              <w:top w:type="dxa" w:w="80"/>
              <w:left w:type="dxa" w:w="80"/>
              <w:bottom w:type="dxa" w:w="80"/>
              <w:right w:type="dxa" w:w="80"/>
            </w:tcMar>
            <w:vAlign w:val="center"/>
          </w:tcPr>
          <w:p>
            <w:pPr>
              <w:pStyle w:val="Normale"/>
              <w:spacing w:after="0" w:line="240" w:lineRule="auto"/>
            </w:pPr>
            <w:r>
              <w:rPr>
                <w:rStyle w:val="Nessuno"/>
                <w:sz w:val="20"/>
                <w:szCs w:val="20"/>
                <w:rtl w:val="0"/>
                <w:lang w:val="it-IT"/>
              </w:rPr>
              <w:t>Slovenia</w:t>
            </w:r>
          </w:p>
        </w:tc>
        <w:tc>
          <w:tcPr>
            <w:tcW w:type="dxa" w:w="193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pPr>
              <w:pStyle w:val="Normale"/>
              <w:spacing w:after="0" w:line="240" w:lineRule="auto"/>
              <w:jc w:val="center"/>
            </w:pPr>
            <w:r>
              <w:rPr>
                <w:rStyle w:val="Nessuno"/>
                <w:sz w:val="20"/>
                <w:szCs w:val="20"/>
                <w:rtl w:val="0"/>
                <w:lang w:val="it-IT"/>
              </w:rPr>
              <w:t>19</w:t>
            </w:r>
          </w:p>
        </w:tc>
        <w:tc>
          <w:tcPr>
            <w:tcW w:type="dxa" w:w="3078"/>
            <w:tcBorders>
              <w:top w:val="nil"/>
              <w:left w:val="single" w:color="000000" w:sz="4"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Normale"/>
              <w:spacing w:after="0" w:line="240" w:lineRule="auto"/>
              <w:jc w:val="center"/>
            </w:pPr>
            <w:r>
              <w:rPr>
                <w:rStyle w:val="Nessuno"/>
                <w:sz w:val="20"/>
                <w:szCs w:val="20"/>
                <w:rtl w:val="0"/>
                <w:lang w:val="it-IT"/>
              </w:rPr>
              <w:t>20</w:t>
            </w:r>
          </w:p>
        </w:tc>
      </w:tr>
      <w:tr>
        <w:tblPrEx>
          <w:shd w:val="clear" w:color="auto" w:fill="ced7e7"/>
        </w:tblPrEx>
        <w:trPr>
          <w:trHeight w:val="240" w:hRule="atLeast"/>
        </w:trPr>
        <w:tc>
          <w:tcPr>
            <w:tcW w:type="dxa" w:w="2668"/>
            <w:tcBorders>
              <w:top w:val="nil"/>
              <w:left w:val="single" w:color="000000" w:sz="8" w:space="0" w:shadow="0" w:frame="0"/>
              <w:bottom w:val="nil"/>
              <w:right w:val="single" w:color="000000" w:sz="4" w:space="0" w:shadow="0" w:frame="0"/>
            </w:tcBorders>
            <w:shd w:val="clear" w:color="auto" w:fill="auto"/>
            <w:tcMar>
              <w:top w:type="dxa" w:w="80"/>
              <w:left w:type="dxa" w:w="80"/>
              <w:bottom w:type="dxa" w:w="80"/>
              <w:right w:type="dxa" w:w="80"/>
            </w:tcMar>
            <w:vAlign w:val="center"/>
          </w:tcPr>
          <w:p>
            <w:pPr>
              <w:pStyle w:val="Normale"/>
              <w:spacing w:after="0" w:line="240" w:lineRule="auto"/>
            </w:pPr>
            <w:r>
              <w:rPr>
                <w:rStyle w:val="Nessuno"/>
                <w:sz w:val="20"/>
                <w:szCs w:val="20"/>
                <w:rtl w:val="0"/>
                <w:lang w:val="it-IT"/>
              </w:rPr>
              <w:t>Slovacchia</w:t>
            </w:r>
          </w:p>
        </w:tc>
        <w:tc>
          <w:tcPr>
            <w:tcW w:type="dxa" w:w="193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pPr>
              <w:pStyle w:val="Normale"/>
              <w:spacing w:after="0" w:line="240" w:lineRule="auto"/>
              <w:jc w:val="center"/>
            </w:pPr>
            <w:r>
              <w:rPr>
                <w:rStyle w:val="Nessuno"/>
                <w:sz w:val="20"/>
                <w:szCs w:val="20"/>
                <w:rtl w:val="0"/>
                <w:lang w:val="it-IT"/>
              </w:rPr>
              <w:t>18</w:t>
            </w:r>
          </w:p>
        </w:tc>
        <w:tc>
          <w:tcPr>
            <w:tcW w:type="dxa" w:w="3078"/>
            <w:tcBorders>
              <w:top w:val="nil"/>
              <w:left w:val="single" w:color="000000" w:sz="4"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Normale"/>
              <w:spacing w:after="0" w:line="240" w:lineRule="auto"/>
              <w:jc w:val="center"/>
            </w:pPr>
            <w:r>
              <w:rPr>
                <w:rStyle w:val="Nessuno"/>
                <w:sz w:val="20"/>
                <w:szCs w:val="20"/>
                <w:rtl w:val="0"/>
                <w:lang w:val="it-IT"/>
              </w:rPr>
              <w:t>19</w:t>
            </w:r>
          </w:p>
        </w:tc>
      </w:tr>
      <w:tr>
        <w:tblPrEx>
          <w:shd w:val="clear" w:color="auto" w:fill="ced7e7"/>
        </w:tblPrEx>
        <w:trPr>
          <w:trHeight w:val="240" w:hRule="atLeast"/>
        </w:trPr>
        <w:tc>
          <w:tcPr>
            <w:tcW w:type="dxa" w:w="2668"/>
            <w:tcBorders>
              <w:top w:val="nil"/>
              <w:left w:val="single" w:color="000000" w:sz="8" w:space="0" w:shadow="0" w:frame="0"/>
              <w:bottom w:val="nil"/>
              <w:right w:val="single" w:color="000000" w:sz="4" w:space="0" w:shadow="0" w:frame="0"/>
            </w:tcBorders>
            <w:shd w:val="clear" w:color="auto" w:fill="auto"/>
            <w:tcMar>
              <w:top w:type="dxa" w:w="80"/>
              <w:left w:type="dxa" w:w="80"/>
              <w:bottom w:type="dxa" w:w="80"/>
              <w:right w:type="dxa" w:w="80"/>
            </w:tcMar>
            <w:vAlign w:val="center"/>
          </w:tcPr>
          <w:p>
            <w:pPr>
              <w:pStyle w:val="Normale"/>
              <w:spacing w:after="0" w:line="240" w:lineRule="auto"/>
            </w:pPr>
            <w:r>
              <w:rPr>
                <w:rStyle w:val="Nessuno"/>
                <w:sz w:val="20"/>
                <w:szCs w:val="20"/>
                <w:rtl w:val="0"/>
                <w:lang w:val="it-IT"/>
              </w:rPr>
              <w:t>Portogallo</w:t>
            </w:r>
          </w:p>
        </w:tc>
        <w:tc>
          <w:tcPr>
            <w:tcW w:type="dxa" w:w="193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pPr>
              <w:pStyle w:val="Normale"/>
              <w:spacing w:after="0" w:line="240" w:lineRule="auto"/>
              <w:jc w:val="center"/>
            </w:pPr>
            <w:r>
              <w:rPr>
                <w:rStyle w:val="Nessuno"/>
                <w:sz w:val="20"/>
                <w:szCs w:val="20"/>
                <w:rtl w:val="0"/>
                <w:lang w:val="it-IT"/>
              </w:rPr>
              <w:t>21</w:t>
            </w:r>
          </w:p>
        </w:tc>
        <w:tc>
          <w:tcPr>
            <w:tcW w:type="dxa" w:w="3078"/>
            <w:tcBorders>
              <w:top w:val="nil"/>
              <w:left w:val="single" w:color="000000" w:sz="4"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Normale"/>
              <w:spacing w:after="0" w:line="240" w:lineRule="auto"/>
              <w:jc w:val="center"/>
            </w:pPr>
            <w:r>
              <w:rPr>
                <w:rStyle w:val="Nessuno"/>
                <w:sz w:val="20"/>
                <w:szCs w:val="20"/>
                <w:rtl w:val="0"/>
                <w:lang w:val="it-IT"/>
              </w:rPr>
              <w:t>23</w:t>
            </w:r>
          </w:p>
        </w:tc>
      </w:tr>
      <w:tr>
        <w:tblPrEx>
          <w:shd w:val="clear" w:color="auto" w:fill="ced7e7"/>
        </w:tblPrEx>
        <w:trPr>
          <w:trHeight w:val="240" w:hRule="atLeast"/>
        </w:trPr>
        <w:tc>
          <w:tcPr>
            <w:tcW w:type="dxa" w:w="2668"/>
            <w:tcBorders>
              <w:top w:val="nil"/>
              <w:left w:val="single" w:color="000000" w:sz="8" w:space="0" w:shadow="0" w:frame="0"/>
              <w:bottom w:val="nil"/>
              <w:right w:val="single" w:color="000000" w:sz="4" w:space="0" w:shadow="0" w:frame="0"/>
            </w:tcBorders>
            <w:shd w:val="clear" w:color="auto" w:fill="auto"/>
            <w:tcMar>
              <w:top w:type="dxa" w:w="80"/>
              <w:left w:type="dxa" w:w="80"/>
              <w:bottom w:type="dxa" w:w="80"/>
              <w:right w:type="dxa" w:w="80"/>
            </w:tcMar>
            <w:vAlign w:val="center"/>
          </w:tcPr>
          <w:p>
            <w:pPr>
              <w:pStyle w:val="Normale"/>
              <w:spacing w:after="0" w:line="240" w:lineRule="auto"/>
            </w:pPr>
            <w:r>
              <w:rPr>
                <w:rStyle w:val="Nessuno"/>
                <w:sz w:val="20"/>
                <w:szCs w:val="20"/>
                <w:rtl w:val="0"/>
                <w:lang w:val="it-IT"/>
              </w:rPr>
              <w:t>Polonia</w:t>
            </w:r>
          </w:p>
        </w:tc>
        <w:tc>
          <w:tcPr>
            <w:tcW w:type="dxa" w:w="193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pPr>
              <w:pStyle w:val="Normale"/>
              <w:spacing w:after="0" w:line="240" w:lineRule="auto"/>
              <w:jc w:val="center"/>
            </w:pPr>
            <w:r>
              <w:rPr>
                <w:rStyle w:val="Nessuno"/>
                <w:sz w:val="20"/>
                <w:szCs w:val="20"/>
                <w:rtl w:val="0"/>
                <w:lang w:val="it-IT"/>
              </w:rPr>
              <w:t>19</w:t>
            </w:r>
          </w:p>
        </w:tc>
        <w:tc>
          <w:tcPr>
            <w:tcW w:type="dxa" w:w="3078"/>
            <w:tcBorders>
              <w:top w:val="nil"/>
              <w:left w:val="single" w:color="000000" w:sz="4"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Normale"/>
              <w:spacing w:after="0" w:line="240" w:lineRule="auto"/>
              <w:jc w:val="center"/>
            </w:pPr>
            <w:r>
              <w:rPr>
                <w:rStyle w:val="Nessuno"/>
                <w:sz w:val="20"/>
                <w:szCs w:val="20"/>
                <w:rtl w:val="0"/>
                <w:lang w:val="it-IT"/>
              </w:rPr>
              <w:t>22</w:t>
            </w:r>
          </w:p>
        </w:tc>
      </w:tr>
      <w:tr>
        <w:tblPrEx>
          <w:shd w:val="clear" w:color="auto" w:fill="ced7e7"/>
        </w:tblPrEx>
        <w:trPr>
          <w:trHeight w:val="240" w:hRule="atLeast"/>
        </w:trPr>
        <w:tc>
          <w:tcPr>
            <w:tcW w:type="dxa" w:w="2668"/>
            <w:tcBorders>
              <w:top w:val="nil"/>
              <w:left w:val="single" w:color="000000" w:sz="8" w:space="0" w:shadow="0" w:frame="0"/>
              <w:bottom w:val="nil"/>
              <w:right w:val="single" w:color="000000" w:sz="4" w:space="0" w:shadow="0" w:frame="0"/>
            </w:tcBorders>
            <w:shd w:val="clear" w:color="auto" w:fill="auto"/>
            <w:tcMar>
              <w:top w:type="dxa" w:w="80"/>
              <w:left w:type="dxa" w:w="80"/>
              <w:bottom w:type="dxa" w:w="80"/>
              <w:right w:type="dxa" w:w="80"/>
            </w:tcMar>
            <w:vAlign w:val="center"/>
          </w:tcPr>
          <w:p>
            <w:pPr>
              <w:pStyle w:val="Normale"/>
              <w:spacing w:after="0" w:line="240" w:lineRule="auto"/>
            </w:pPr>
            <w:r>
              <w:rPr>
                <w:rStyle w:val="Nessuno"/>
                <w:sz w:val="20"/>
                <w:szCs w:val="20"/>
                <w:rtl w:val="0"/>
                <w:lang w:val="it-IT"/>
              </w:rPr>
              <w:t>Olanda</w:t>
            </w:r>
          </w:p>
        </w:tc>
        <w:tc>
          <w:tcPr>
            <w:tcW w:type="dxa" w:w="193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pPr>
              <w:pStyle w:val="Normale"/>
              <w:spacing w:after="0" w:line="240" w:lineRule="auto"/>
              <w:jc w:val="center"/>
            </w:pPr>
            <w:r>
              <w:rPr>
                <w:rStyle w:val="Nessuno"/>
                <w:sz w:val="20"/>
                <w:szCs w:val="20"/>
                <w:rtl w:val="0"/>
                <w:lang w:val="it-IT"/>
              </w:rPr>
              <w:t>23</w:t>
            </w:r>
          </w:p>
        </w:tc>
        <w:tc>
          <w:tcPr>
            <w:tcW w:type="dxa" w:w="3078"/>
            <w:tcBorders>
              <w:top w:val="nil"/>
              <w:left w:val="single" w:color="000000" w:sz="4"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Normale"/>
              <w:spacing w:after="0" w:line="240" w:lineRule="auto"/>
              <w:jc w:val="center"/>
            </w:pPr>
            <w:r>
              <w:rPr>
                <w:rStyle w:val="Nessuno"/>
                <w:sz w:val="20"/>
                <w:szCs w:val="20"/>
                <w:rtl w:val="0"/>
                <w:lang w:val="it-IT"/>
              </w:rPr>
              <w:t> </w:t>
            </w:r>
          </w:p>
        </w:tc>
      </w:tr>
      <w:tr>
        <w:tblPrEx>
          <w:shd w:val="clear" w:color="auto" w:fill="ced7e7"/>
        </w:tblPrEx>
        <w:trPr>
          <w:trHeight w:val="240" w:hRule="atLeast"/>
        </w:trPr>
        <w:tc>
          <w:tcPr>
            <w:tcW w:type="dxa" w:w="2668"/>
            <w:tcBorders>
              <w:top w:val="nil"/>
              <w:left w:val="single" w:color="000000" w:sz="8" w:space="0" w:shadow="0" w:frame="0"/>
              <w:bottom w:val="nil"/>
              <w:right w:val="single" w:color="000000" w:sz="4" w:space="0" w:shadow="0" w:frame="0"/>
            </w:tcBorders>
            <w:shd w:val="clear" w:color="auto" w:fill="auto"/>
            <w:tcMar>
              <w:top w:type="dxa" w:w="80"/>
              <w:left w:type="dxa" w:w="80"/>
              <w:bottom w:type="dxa" w:w="80"/>
              <w:right w:type="dxa" w:w="80"/>
            </w:tcMar>
            <w:vAlign w:val="center"/>
          </w:tcPr>
          <w:p>
            <w:pPr>
              <w:pStyle w:val="Normale"/>
              <w:spacing w:after="0" w:line="240" w:lineRule="auto"/>
            </w:pPr>
            <w:r>
              <w:rPr>
                <w:rStyle w:val="Nessuno"/>
                <w:sz w:val="20"/>
                <w:szCs w:val="20"/>
                <w:rtl w:val="0"/>
                <w:lang w:val="it-IT"/>
              </w:rPr>
              <w:t>Lussemburgo</w:t>
            </w:r>
          </w:p>
        </w:tc>
        <w:tc>
          <w:tcPr>
            <w:tcW w:type="dxa" w:w="193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pPr>
              <w:pStyle w:val="Normale"/>
              <w:spacing w:after="0" w:line="240" w:lineRule="auto"/>
              <w:jc w:val="center"/>
            </w:pPr>
            <w:r>
              <w:rPr>
                <w:rStyle w:val="Nessuno"/>
                <w:sz w:val="20"/>
                <w:szCs w:val="20"/>
                <w:rtl w:val="0"/>
                <w:lang w:val="it-IT"/>
              </w:rPr>
              <w:t>16</w:t>
            </w:r>
          </w:p>
        </w:tc>
        <w:tc>
          <w:tcPr>
            <w:tcW w:type="dxa" w:w="3078"/>
            <w:tcBorders>
              <w:top w:val="nil"/>
              <w:left w:val="single" w:color="000000" w:sz="4"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Normale"/>
              <w:spacing w:after="0" w:line="240" w:lineRule="auto"/>
              <w:jc w:val="center"/>
            </w:pPr>
            <w:r>
              <w:rPr>
                <w:rStyle w:val="Nessuno"/>
                <w:sz w:val="20"/>
                <w:szCs w:val="20"/>
                <w:rtl w:val="0"/>
                <w:lang w:val="it-IT"/>
              </w:rPr>
              <w:t>19</w:t>
            </w:r>
          </w:p>
        </w:tc>
      </w:tr>
      <w:tr>
        <w:tblPrEx>
          <w:shd w:val="clear" w:color="auto" w:fill="ced7e7"/>
        </w:tblPrEx>
        <w:trPr>
          <w:trHeight w:val="240" w:hRule="atLeast"/>
        </w:trPr>
        <w:tc>
          <w:tcPr>
            <w:tcW w:type="dxa" w:w="2668"/>
            <w:tcBorders>
              <w:top w:val="nil"/>
              <w:left w:val="single" w:color="000000" w:sz="8" w:space="0" w:shadow="0" w:frame="0"/>
              <w:bottom w:val="nil"/>
              <w:right w:val="single" w:color="000000" w:sz="4" w:space="0" w:shadow="0" w:frame="0"/>
            </w:tcBorders>
            <w:shd w:val="clear" w:color="auto" w:fill="auto"/>
            <w:tcMar>
              <w:top w:type="dxa" w:w="80"/>
              <w:left w:type="dxa" w:w="80"/>
              <w:bottom w:type="dxa" w:w="80"/>
              <w:right w:type="dxa" w:w="80"/>
            </w:tcMar>
            <w:vAlign w:val="center"/>
          </w:tcPr>
          <w:p>
            <w:pPr>
              <w:pStyle w:val="Normale"/>
              <w:spacing w:after="0" w:line="240" w:lineRule="auto"/>
            </w:pPr>
            <w:r>
              <w:rPr>
                <w:rStyle w:val="Nessuno"/>
                <w:sz w:val="20"/>
                <w:szCs w:val="20"/>
                <w:rtl w:val="0"/>
                <w:lang w:val="it-IT"/>
              </w:rPr>
              <w:t>Lituania</w:t>
            </w:r>
          </w:p>
        </w:tc>
        <w:tc>
          <w:tcPr>
            <w:tcW w:type="dxa" w:w="193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pPr>
              <w:pStyle w:val="Normale"/>
              <w:spacing w:after="0" w:line="240" w:lineRule="auto"/>
              <w:jc w:val="center"/>
            </w:pPr>
            <w:r>
              <w:rPr>
                <w:rStyle w:val="Nessuno"/>
                <w:sz w:val="20"/>
                <w:szCs w:val="20"/>
                <w:rtl w:val="0"/>
                <w:lang w:val="it-IT"/>
              </w:rPr>
              <w:t>16</w:t>
            </w:r>
          </w:p>
        </w:tc>
        <w:tc>
          <w:tcPr>
            <w:tcW w:type="dxa" w:w="3078"/>
            <w:tcBorders>
              <w:top w:val="nil"/>
              <w:left w:val="single" w:color="000000" w:sz="4"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Normale"/>
              <w:spacing w:after="0" w:line="240" w:lineRule="auto"/>
              <w:jc w:val="center"/>
            </w:pPr>
            <w:r>
              <w:rPr>
                <w:rStyle w:val="Nessuno"/>
                <w:sz w:val="20"/>
                <w:szCs w:val="20"/>
                <w:rtl w:val="0"/>
                <w:lang w:val="it-IT"/>
              </w:rPr>
              <w:t>19</w:t>
            </w:r>
          </w:p>
        </w:tc>
      </w:tr>
      <w:tr>
        <w:tblPrEx>
          <w:shd w:val="clear" w:color="auto" w:fill="ced7e7"/>
        </w:tblPrEx>
        <w:trPr>
          <w:trHeight w:val="240" w:hRule="atLeast"/>
        </w:trPr>
        <w:tc>
          <w:tcPr>
            <w:tcW w:type="dxa" w:w="2668"/>
            <w:tcBorders>
              <w:top w:val="nil"/>
              <w:left w:val="single" w:color="000000" w:sz="8" w:space="0" w:shadow="0" w:frame="0"/>
              <w:bottom w:val="nil"/>
              <w:right w:val="single" w:color="000000" w:sz="4" w:space="0" w:shadow="0" w:frame="0"/>
            </w:tcBorders>
            <w:shd w:val="clear" w:color="auto" w:fill="auto"/>
            <w:tcMar>
              <w:top w:type="dxa" w:w="80"/>
              <w:left w:type="dxa" w:w="80"/>
              <w:bottom w:type="dxa" w:w="80"/>
              <w:right w:type="dxa" w:w="80"/>
            </w:tcMar>
            <w:vAlign w:val="center"/>
          </w:tcPr>
          <w:p>
            <w:pPr>
              <w:pStyle w:val="Normale"/>
              <w:spacing w:after="0" w:line="240" w:lineRule="auto"/>
            </w:pPr>
            <w:r>
              <w:rPr>
                <w:rStyle w:val="Nessuno"/>
                <w:sz w:val="20"/>
                <w:szCs w:val="20"/>
                <w:rtl w:val="0"/>
                <w:lang w:val="it-IT"/>
              </w:rPr>
              <w:t>Lettonia</w:t>
            </w:r>
          </w:p>
        </w:tc>
        <w:tc>
          <w:tcPr>
            <w:tcW w:type="dxa" w:w="193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pPr>
              <w:pStyle w:val="Normale"/>
              <w:spacing w:after="0" w:line="240" w:lineRule="auto"/>
              <w:jc w:val="center"/>
            </w:pPr>
            <w:r>
              <w:rPr>
                <w:rStyle w:val="Nessuno"/>
                <w:sz w:val="20"/>
                <w:szCs w:val="20"/>
                <w:rtl w:val="0"/>
                <w:lang w:val="it-IT"/>
              </w:rPr>
              <w:t>16</w:t>
            </w:r>
          </w:p>
        </w:tc>
        <w:tc>
          <w:tcPr>
            <w:tcW w:type="dxa" w:w="3078"/>
            <w:tcBorders>
              <w:top w:val="nil"/>
              <w:left w:val="single" w:color="000000" w:sz="4"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Normale"/>
              <w:spacing w:after="0" w:line="240" w:lineRule="auto"/>
              <w:jc w:val="center"/>
            </w:pPr>
            <w:r>
              <w:rPr>
                <w:rStyle w:val="Nessuno"/>
                <w:sz w:val="20"/>
                <w:szCs w:val="20"/>
                <w:rtl w:val="0"/>
                <w:lang w:val="it-IT"/>
              </w:rPr>
              <w:t>15</w:t>
            </w:r>
          </w:p>
        </w:tc>
      </w:tr>
      <w:tr>
        <w:tblPrEx>
          <w:shd w:val="clear" w:color="auto" w:fill="ced7e7"/>
        </w:tblPrEx>
        <w:trPr>
          <w:trHeight w:val="240" w:hRule="atLeast"/>
        </w:trPr>
        <w:tc>
          <w:tcPr>
            <w:tcW w:type="dxa" w:w="2668"/>
            <w:tcBorders>
              <w:top w:val="nil"/>
              <w:left w:val="single" w:color="000000" w:sz="8" w:space="0" w:shadow="0" w:frame="0"/>
              <w:bottom w:val="nil"/>
              <w:right w:val="single" w:color="000000" w:sz="4" w:space="0" w:shadow="0" w:frame="0"/>
            </w:tcBorders>
            <w:shd w:val="clear" w:color="auto" w:fill="auto"/>
            <w:tcMar>
              <w:top w:type="dxa" w:w="80"/>
              <w:left w:type="dxa" w:w="80"/>
              <w:bottom w:type="dxa" w:w="80"/>
              <w:right w:type="dxa" w:w="80"/>
            </w:tcMar>
            <w:vAlign w:val="center"/>
          </w:tcPr>
          <w:p>
            <w:pPr>
              <w:pStyle w:val="Normale"/>
              <w:spacing w:after="0" w:line="240" w:lineRule="auto"/>
            </w:pPr>
            <w:r>
              <w:rPr>
                <w:rStyle w:val="Nessuno"/>
                <w:b w:val="1"/>
                <w:bCs w:val="1"/>
                <w:color w:val="002060"/>
                <w:sz w:val="20"/>
                <w:szCs w:val="20"/>
                <w:u w:color="002060"/>
                <w:rtl w:val="0"/>
                <w:lang w:val="it-IT"/>
              </w:rPr>
              <w:t>Italia</w:t>
            </w:r>
          </w:p>
        </w:tc>
        <w:tc>
          <w:tcPr>
            <w:tcW w:type="dxa" w:w="193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pPr>
              <w:pStyle w:val="Normale"/>
              <w:spacing w:after="0" w:line="240" w:lineRule="auto"/>
              <w:jc w:val="center"/>
            </w:pPr>
            <w:r>
              <w:rPr>
                <w:rStyle w:val="Nessuno"/>
                <w:b w:val="1"/>
                <w:bCs w:val="1"/>
                <w:color w:val="002060"/>
                <w:sz w:val="20"/>
                <w:szCs w:val="20"/>
                <w:u w:color="002060"/>
                <w:rtl w:val="0"/>
                <w:lang w:val="it-IT"/>
              </w:rPr>
              <w:t>19</w:t>
            </w:r>
          </w:p>
        </w:tc>
        <w:tc>
          <w:tcPr>
            <w:tcW w:type="dxa" w:w="3078"/>
            <w:tcBorders>
              <w:top w:val="nil"/>
              <w:left w:val="single" w:color="000000" w:sz="4"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Normale"/>
              <w:spacing w:after="0" w:line="240" w:lineRule="auto"/>
              <w:jc w:val="center"/>
            </w:pPr>
            <w:r>
              <w:rPr>
                <w:rStyle w:val="Nessuno"/>
                <w:b w:val="1"/>
                <w:bCs w:val="1"/>
                <w:color w:val="002060"/>
                <w:sz w:val="20"/>
                <w:szCs w:val="20"/>
                <w:u w:color="002060"/>
                <w:rtl w:val="0"/>
                <w:lang w:val="it-IT"/>
              </w:rPr>
              <w:t>21</w:t>
            </w:r>
          </w:p>
        </w:tc>
      </w:tr>
      <w:tr>
        <w:tblPrEx>
          <w:shd w:val="clear" w:color="auto" w:fill="ced7e7"/>
        </w:tblPrEx>
        <w:trPr>
          <w:trHeight w:val="240" w:hRule="atLeast"/>
        </w:trPr>
        <w:tc>
          <w:tcPr>
            <w:tcW w:type="dxa" w:w="2668"/>
            <w:tcBorders>
              <w:top w:val="nil"/>
              <w:left w:val="single" w:color="000000" w:sz="8" w:space="0" w:shadow="0" w:frame="0"/>
              <w:bottom w:val="nil"/>
              <w:right w:val="single" w:color="000000" w:sz="4" w:space="0" w:shadow="0" w:frame="0"/>
            </w:tcBorders>
            <w:shd w:val="clear" w:color="auto" w:fill="auto"/>
            <w:tcMar>
              <w:top w:type="dxa" w:w="80"/>
              <w:left w:type="dxa" w:w="80"/>
              <w:bottom w:type="dxa" w:w="80"/>
              <w:right w:type="dxa" w:w="80"/>
            </w:tcMar>
            <w:vAlign w:val="center"/>
          </w:tcPr>
          <w:p>
            <w:pPr>
              <w:pStyle w:val="Normale"/>
              <w:spacing w:after="0" w:line="240" w:lineRule="auto"/>
            </w:pPr>
            <w:r>
              <w:rPr>
                <w:rStyle w:val="Nessuno"/>
                <w:sz w:val="20"/>
                <w:szCs w:val="20"/>
                <w:rtl w:val="0"/>
                <w:lang w:val="it-IT"/>
              </w:rPr>
              <w:t>Ungheria</w:t>
            </w:r>
          </w:p>
        </w:tc>
        <w:tc>
          <w:tcPr>
            <w:tcW w:type="dxa" w:w="193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pPr>
              <w:pStyle w:val="Normale"/>
              <w:spacing w:after="0" w:line="240" w:lineRule="auto"/>
              <w:jc w:val="center"/>
            </w:pPr>
            <w:r>
              <w:rPr>
                <w:rStyle w:val="Nessuno"/>
                <w:sz w:val="20"/>
                <w:szCs w:val="20"/>
                <w:rtl w:val="0"/>
                <w:lang w:val="it-IT"/>
              </w:rPr>
              <w:t>21</w:t>
            </w:r>
          </w:p>
        </w:tc>
        <w:tc>
          <w:tcPr>
            <w:tcW w:type="dxa" w:w="3078"/>
            <w:tcBorders>
              <w:top w:val="nil"/>
              <w:left w:val="single" w:color="000000" w:sz="4"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Normale"/>
              <w:spacing w:after="0" w:line="240" w:lineRule="auto"/>
              <w:jc w:val="center"/>
            </w:pPr>
            <w:r>
              <w:rPr>
                <w:rStyle w:val="Nessuno"/>
                <w:sz w:val="20"/>
                <w:szCs w:val="20"/>
                <w:rtl w:val="0"/>
                <w:lang w:val="it-IT"/>
              </w:rPr>
              <w:t>21</w:t>
            </w:r>
          </w:p>
        </w:tc>
      </w:tr>
      <w:tr>
        <w:tblPrEx>
          <w:shd w:val="clear" w:color="auto" w:fill="ced7e7"/>
        </w:tblPrEx>
        <w:trPr>
          <w:trHeight w:val="240" w:hRule="atLeast"/>
        </w:trPr>
        <w:tc>
          <w:tcPr>
            <w:tcW w:type="dxa" w:w="2668"/>
            <w:tcBorders>
              <w:top w:val="nil"/>
              <w:left w:val="single" w:color="000000" w:sz="8" w:space="0" w:shadow="0" w:frame="0"/>
              <w:bottom w:val="nil"/>
              <w:right w:val="single" w:color="000000" w:sz="4" w:space="0" w:shadow="0" w:frame="0"/>
            </w:tcBorders>
            <w:shd w:val="clear" w:color="auto" w:fill="auto"/>
            <w:tcMar>
              <w:top w:type="dxa" w:w="80"/>
              <w:left w:type="dxa" w:w="80"/>
              <w:bottom w:type="dxa" w:w="80"/>
              <w:right w:type="dxa" w:w="80"/>
            </w:tcMar>
            <w:vAlign w:val="center"/>
          </w:tcPr>
          <w:p>
            <w:pPr>
              <w:pStyle w:val="Normale"/>
              <w:spacing w:after="0" w:line="240" w:lineRule="auto"/>
            </w:pPr>
            <w:r>
              <w:rPr>
                <w:rStyle w:val="Nessuno"/>
                <w:sz w:val="20"/>
                <w:szCs w:val="20"/>
                <w:rtl w:val="0"/>
                <w:lang w:val="it-IT"/>
              </w:rPr>
              <w:t>Grecia</w:t>
            </w:r>
          </w:p>
        </w:tc>
        <w:tc>
          <w:tcPr>
            <w:tcW w:type="dxa" w:w="193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pPr>
              <w:pStyle w:val="Normale"/>
              <w:spacing w:after="0" w:line="240" w:lineRule="auto"/>
              <w:jc w:val="center"/>
            </w:pPr>
            <w:r>
              <w:rPr>
                <w:rStyle w:val="Nessuno"/>
                <w:sz w:val="20"/>
                <w:szCs w:val="20"/>
                <w:rtl w:val="0"/>
                <w:lang w:val="it-IT"/>
              </w:rPr>
              <w:t>17</w:t>
            </w:r>
          </w:p>
        </w:tc>
        <w:tc>
          <w:tcPr>
            <w:tcW w:type="dxa" w:w="3078"/>
            <w:tcBorders>
              <w:top w:val="nil"/>
              <w:left w:val="single" w:color="000000" w:sz="4"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Normale"/>
              <w:spacing w:after="0" w:line="240" w:lineRule="auto"/>
              <w:jc w:val="center"/>
            </w:pPr>
            <w:r>
              <w:rPr>
                <w:rStyle w:val="Nessuno"/>
                <w:sz w:val="20"/>
                <w:szCs w:val="20"/>
                <w:rtl w:val="0"/>
                <w:lang w:val="it-IT"/>
              </w:rPr>
              <w:t>21</w:t>
            </w:r>
          </w:p>
        </w:tc>
      </w:tr>
      <w:tr>
        <w:tblPrEx>
          <w:shd w:val="clear" w:color="auto" w:fill="ced7e7"/>
        </w:tblPrEx>
        <w:trPr>
          <w:trHeight w:val="240" w:hRule="atLeast"/>
        </w:trPr>
        <w:tc>
          <w:tcPr>
            <w:tcW w:type="dxa" w:w="2668"/>
            <w:tcBorders>
              <w:top w:val="nil"/>
              <w:left w:val="single" w:color="000000" w:sz="8" w:space="0" w:shadow="0" w:frame="0"/>
              <w:bottom w:val="nil"/>
              <w:right w:val="single" w:color="000000" w:sz="4" w:space="0" w:shadow="0" w:frame="0"/>
            </w:tcBorders>
            <w:shd w:val="clear" w:color="auto" w:fill="auto"/>
            <w:tcMar>
              <w:top w:type="dxa" w:w="80"/>
              <w:left w:type="dxa" w:w="80"/>
              <w:bottom w:type="dxa" w:w="80"/>
              <w:right w:type="dxa" w:w="80"/>
            </w:tcMar>
            <w:vAlign w:val="center"/>
          </w:tcPr>
          <w:p>
            <w:pPr>
              <w:pStyle w:val="Normale"/>
              <w:spacing w:after="0" w:line="240" w:lineRule="auto"/>
            </w:pPr>
            <w:r>
              <w:rPr>
                <w:rStyle w:val="Nessuno"/>
                <w:sz w:val="20"/>
                <w:szCs w:val="20"/>
                <w:rtl w:val="0"/>
                <w:lang w:val="it-IT"/>
              </w:rPr>
              <w:t>Germania</w:t>
            </w:r>
          </w:p>
        </w:tc>
        <w:tc>
          <w:tcPr>
            <w:tcW w:type="dxa" w:w="193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pPr>
              <w:pStyle w:val="Normale"/>
              <w:spacing w:after="0" w:line="240" w:lineRule="auto"/>
              <w:jc w:val="center"/>
            </w:pPr>
            <w:r>
              <w:rPr>
                <w:rStyle w:val="Nessuno"/>
                <w:sz w:val="20"/>
                <w:szCs w:val="20"/>
                <w:rtl w:val="0"/>
                <w:lang w:val="it-IT"/>
              </w:rPr>
              <w:t>21</w:t>
            </w:r>
          </w:p>
        </w:tc>
        <w:tc>
          <w:tcPr>
            <w:tcW w:type="dxa" w:w="3078"/>
            <w:tcBorders>
              <w:top w:val="nil"/>
              <w:left w:val="single" w:color="000000" w:sz="4"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Normale"/>
              <w:spacing w:after="0" w:line="240" w:lineRule="auto"/>
              <w:jc w:val="center"/>
            </w:pPr>
            <w:r>
              <w:rPr>
                <w:rStyle w:val="Nessuno"/>
                <w:sz w:val="20"/>
                <w:szCs w:val="20"/>
                <w:rtl w:val="0"/>
                <w:lang w:val="it-IT"/>
              </w:rPr>
              <w:t>24</w:t>
            </w:r>
          </w:p>
        </w:tc>
      </w:tr>
      <w:tr>
        <w:tblPrEx>
          <w:shd w:val="clear" w:color="auto" w:fill="ced7e7"/>
        </w:tblPrEx>
        <w:trPr>
          <w:trHeight w:val="240" w:hRule="atLeast"/>
        </w:trPr>
        <w:tc>
          <w:tcPr>
            <w:tcW w:type="dxa" w:w="2668"/>
            <w:tcBorders>
              <w:top w:val="nil"/>
              <w:left w:val="single" w:color="000000" w:sz="8" w:space="0" w:shadow="0" w:frame="0"/>
              <w:bottom w:val="nil"/>
              <w:right w:val="single" w:color="000000" w:sz="4" w:space="0" w:shadow="0" w:frame="0"/>
            </w:tcBorders>
            <w:shd w:val="clear" w:color="auto" w:fill="auto"/>
            <w:tcMar>
              <w:top w:type="dxa" w:w="80"/>
              <w:left w:type="dxa" w:w="80"/>
              <w:bottom w:type="dxa" w:w="80"/>
              <w:right w:type="dxa" w:w="80"/>
            </w:tcMar>
            <w:vAlign w:val="center"/>
          </w:tcPr>
          <w:p>
            <w:pPr>
              <w:pStyle w:val="Normale"/>
              <w:spacing w:after="0" w:line="240" w:lineRule="auto"/>
            </w:pPr>
            <w:r>
              <w:rPr>
                <w:rStyle w:val="Nessuno"/>
                <w:sz w:val="20"/>
                <w:szCs w:val="20"/>
                <w:rtl w:val="0"/>
                <w:lang w:val="it-IT"/>
              </w:rPr>
              <w:t>Francia</w:t>
            </w:r>
          </w:p>
        </w:tc>
        <w:tc>
          <w:tcPr>
            <w:tcW w:type="dxa" w:w="193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pPr>
              <w:pStyle w:val="Normale"/>
              <w:spacing w:after="0" w:line="240" w:lineRule="auto"/>
              <w:jc w:val="center"/>
            </w:pPr>
            <w:r>
              <w:rPr>
                <w:rStyle w:val="Nessuno"/>
                <w:sz w:val="20"/>
                <w:szCs w:val="20"/>
                <w:rtl w:val="0"/>
                <w:lang w:val="it-IT"/>
              </w:rPr>
              <w:t>23</w:t>
            </w:r>
          </w:p>
        </w:tc>
        <w:tc>
          <w:tcPr>
            <w:tcW w:type="dxa" w:w="3078"/>
            <w:tcBorders>
              <w:top w:val="nil"/>
              <w:left w:val="single" w:color="000000" w:sz="4"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Normale"/>
              <w:spacing w:after="0" w:line="240" w:lineRule="auto"/>
              <w:jc w:val="center"/>
            </w:pPr>
            <w:r>
              <w:rPr>
                <w:rStyle w:val="Nessuno"/>
                <w:sz w:val="20"/>
                <w:szCs w:val="20"/>
                <w:rtl w:val="0"/>
                <w:lang w:val="it-IT"/>
              </w:rPr>
              <w:t>25</w:t>
            </w:r>
          </w:p>
        </w:tc>
      </w:tr>
      <w:tr>
        <w:tblPrEx>
          <w:shd w:val="clear" w:color="auto" w:fill="ced7e7"/>
        </w:tblPrEx>
        <w:trPr>
          <w:trHeight w:val="240" w:hRule="atLeast"/>
        </w:trPr>
        <w:tc>
          <w:tcPr>
            <w:tcW w:type="dxa" w:w="2668"/>
            <w:tcBorders>
              <w:top w:val="nil"/>
              <w:left w:val="single" w:color="000000" w:sz="8" w:space="0" w:shadow="0" w:frame="0"/>
              <w:bottom w:val="nil"/>
              <w:right w:val="single" w:color="000000" w:sz="4" w:space="0" w:shadow="0" w:frame="0"/>
            </w:tcBorders>
            <w:shd w:val="clear" w:color="auto" w:fill="auto"/>
            <w:tcMar>
              <w:top w:type="dxa" w:w="80"/>
              <w:left w:type="dxa" w:w="80"/>
              <w:bottom w:type="dxa" w:w="80"/>
              <w:right w:type="dxa" w:w="80"/>
            </w:tcMar>
            <w:vAlign w:val="center"/>
          </w:tcPr>
          <w:p>
            <w:pPr>
              <w:pStyle w:val="Normale"/>
              <w:spacing w:after="0" w:line="240" w:lineRule="auto"/>
            </w:pPr>
            <w:r>
              <w:rPr>
                <w:rStyle w:val="Nessuno"/>
                <w:sz w:val="20"/>
                <w:szCs w:val="20"/>
                <w:rtl w:val="0"/>
                <w:lang w:val="it-IT"/>
              </w:rPr>
              <w:t>Finlandia</w:t>
            </w:r>
          </w:p>
        </w:tc>
        <w:tc>
          <w:tcPr>
            <w:tcW w:type="dxa" w:w="193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pPr>
              <w:pStyle w:val="Normale"/>
              <w:spacing w:after="0" w:line="240" w:lineRule="auto"/>
              <w:jc w:val="center"/>
            </w:pPr>
            <w:r>
              <w:rPr>
                <w:rStyle w:val="Nessuno"/>
                <w:sz w:val="20"/>
                <w:szCs w:val="20"/>
                <w:rtl w:val="0"/>
                <w:lang w:val="it-IT"/>
              </w:rPr>
              <w:t>19</w:t>
            </w:r>
          </w:p>
        </w:tc>
        <w:tc>
          <w:tcPr>
            <w:tcW w:type="dxa" w:w="3078"/>
            <w:tcBorders>
              <w:top w:val="nil"/>
              <w:left w:val="single" w:color="000000" w:sz="4"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Normale"/>
              <w:spacing w:after="0" w:line="240" w:lineRule="auto"/>
              <w:jc w:val="center"/>
            </w:pPr>
            <w:r>
              <w:rPr>
                <w:rStyle w:val="Nessuno"/>
                <w:sz w:val="20"/>
                <w:szCs w:val="20"/>
                <w:rtl w:val="0"/>
                <w:lang w:val="it-IT"/>
              </w:rPr>
              <w:t>20</w:t>
            </w:r>
          </w:p>
        </w:tc>
      </w:tr>
      <w:tr>
        <w:tblPrEx>
          <w:shd w:val="clear" w:color="auto" w:fill="ced7e7"/>
        </w:tblPrEx>
        <w:trPr>
          <w:trHeight w:val="240" w:hRule="atLeast"/>
        </w:trPr>
        <w:tc>
          <w:tcPr>
            <w:tcW w:type="dxa" w:w="2668"/>
            <w:tcBorders>
              <w:top w:val="nil"/>
              <w:left w:val="single" w:color="000000" w:sz="8" w:space="0" w:shadow="0" w:frame="0"/>
              <w:bottom w:val="nil"/>
              <w:right w:val="single" w:color="000000" w:sz="4" w:space="0" w:shadow="0" w:frame="0"/>
            </w:tcBorders>
            <w:shd w:val="clear" w:color="auto" w:fill="auto"/>
            <w:tcMar>
              <w:top w:type="dxa" w:w="80"/>
              <w:left w:type="dxa" w:w="80"/>
              <w:bottom w:type="dxa" w:w="80"/>
              <w:right w:type="dxa" w:w="80"/>
            </w:tcMar>
            <w:vAlign w:val="center"/>
          </w:tcPr>
          <w:p>
            <w:pPr>
              <w:pStyle w:val="Normale"/>
              <w:spacing w:after="0" w:line="240" w:lineRule="auto"/>
            </w:pPr>
            <w:r>
              <w:rPr>
                <w:rStyle w:val="Nessuno"/>
                <w:sz w:val="20"/>
                <w:szCs w:val="20"/>
                <w:rtl w:val="0"/>
                <w:lang w:val="it-IT"/>
              </w:rPr>
              <w:t>Estonia</w:t>
            </w:r>
          </w:p>
        </w:tc>
        <w:tc>
          <w:tcPr>
            <w:tcW w:type="dxa" w:w="193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pPr>
              <w:pStyle w:val="Normale"/>
              <w:spacing w:after="0" w:line="240" w:lineRule="auto"/>
              <w:jc w:val="center"/>
            </w:pPr>
            <w:r>
              <w:rPr>
                <w:rStyle w:val="Nessuno"/>
                <w:sz w:val="20"/>
                <w:szCs w:val="20"/>
                <w:rtl w:val="0"/>
                <w:lang w:val="it-IT"/>
              </w:rPr>
              <w:t>19</w:t>
            </w:r>
          </w:p>
        </w:tc>
        <w:tc>
          <w:tcPr>
            <w:tcW w:type="dxa" w:w="3078"/>
            <w:tcBorders>
              <w:top w:val="nil"/>
              <w:left w:val="single" w:color="000000" w:sz="4"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Normale"/>
              <w:spacing w:after="0" w:line="240" w:lineRule="auto"/>
              <w:jc w:val="center"/>
            </w:pPr>
            <w:r>
              <w:rPr>
                <w:rStyle w:val="Nessuno"/>
                <w:sz w:val="20"/>
                <w:szCs w:val="20"/>
                <w:rtl w:val="0"/>
                <w:lang w:val="it-IT"/>
              </w:rPr>
              <w:t>18</w:t>
            </w:r>
          </w:p>
        </w:tc>
      </w:tr>
      <w:tr>
        <w:tblPrEx>
          <w:shd w:val="clear" w:color="auto" w:fill="ced7e7"/>
        </w:tblPrEx>
        <w:trPr>
          <w:trHeight w:val="240" w:hRule="atLeast"/>
        </w:trPr>
        <w:tc>
          <w:tcPr>
            <w:tcW w:type="dxa" w:w="2668"/>
            <w:tcBorders>
              <w:top w:val="nil"/>
              <w:left w:val="single" w:color="000000" w:sz="8" w:space="0" w:shadow="0" w:frame="0"/>
              <w:bottom w:val="nil"/>
              <w:right w:val="single" w:color="000000" w:sz="4" w:space="0" w:shadow="0" w:frame="0"/>
            </w:tcBorders>
            <w:shd w:val="clear" w:color="auto" w:fill="auto"/>
            <w:tcMar>
              <w:top w:type="dxa" w:w="80"/>
              <w:left w:type="dxa" w:w="80"/>
              <w:bottom w:type="dxa" w:w="80"/>
              <w:right w:type="dxa" w:w="80"/>
            </w:tcMar>
            <w:vAlign w:val="center"/>
          </w:tcPr>
          <w:p>
            <w:pPr>
              <w:pStyle w:val="Normale"/>
              <w:spacing w:after="0" w:line="240" w:lineRule="auto"/>
            </w:pPr>
            <w:r>
              <w:rPr>
                <w:rStyle w:val="Nessuno"/>
                <w:sz w:val="20"/>
                <w:szCs w:val="20"/>
                <w:rtl w:val="0"/>
                <w:lang w:val="it-IT"/>
              </w:rPr>
              <w:t>Repubblica Ceca</w:t>
            </w:r>
          </w:p>
        </w:tc>
        <w:tc>
          <w:tcPr>
            <w:tcW w:type="dxa" w:w="1930"/>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center"/>
          </w:tcPr>
          <w:p>
            <w:pPr>
              <w:pStyle w:val="Normale"/>
              <w:spacing w:after="0" w:line="240" w:lineRule="auto"/>
              <w:jc w:val="center"/>
            </w:pPr>
            <w:r>
              <w:rPr>
                <w:rStyle w:val="Nessuno"/>
                <w:sz w:val="20"/>
                <w:szCs w:val="20"/>
                <w:rtl w:val="0"/>
                <w:lang w:val="it-IT"/>
              </w:rPr>
              <w:t>21</w:t>
            </w:r>
          </w:p>
        </w:tc>
        <w:tc>
          <w:tcPr>
            <w:tcW w:type="dxa" w:w="3078"/>
            <w:tcBorders>
              <w:top w:val="nil"/>
              <w:left w:val="single" w:color="000000" w:sz="4"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Normale"/>
              <w:spacing w:after="0" w:line="240" w:lineRule="auto"/>
              <w:jc w:val="center"/>
            </w:pPr>
            <w:r>
              <w:rPr>
                <w:rStyle w:val="Nessuno"/>
                <w:sz w:val="20"/>
                <w:szCs w:val="20"/>
                <w:rtl w:val="0"/>
                <w:lang w:val="it-IT"/>
              </w:rPr>
              <w:t>22</w:t>
            </w:r>
          </w:p>
        </w:tc>
      </w:tr>
      <w:tr>
        <w:tblPrEx>
          <w:shd w:val="clear" w:color="auto" w:fill="ced7e7"/>
        </w:tblPrEx>
        <w:trPr>
          <w:trHeight w:val="235" w:hRule="atLeast"/>
        </w:trPr>
        <w:tc>
          <w:tcPr>
            <w:tcW w:type="dxa" w:w="2668"/>
            <w:tcBorders>
              <w:top w:val="nil"/>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e"/>
              <w:spacing w:after="0" w:line="240" w:lineRule="auto"/>
            </w:pPr>
            <w:r>
              <w:rPr>
                <w:rStyle w:val="Nessuno"/>
                <w:sz w:val="20"/>
                <w:szCs w:val="20"/>
                <w:rtl w:val="0"/>
                <w:lang w:val="it-IT"/>
              </w:rPr>
              <w:t>Austria</w:t>
            </w:r>
          </w:p>
        </w:tc>
        <w:tc>
          <w:tcPr>
            <w:tcW w:type="dxa" w:w="1930"/>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e"/>
              <w:spacing w:after="0" w:line="240" w:lineRule="auto"/>
              <w:jc w:val="center"/>
            </w:pPr>
            <w:r>
              <w:rPr>
                <w:rStyle w:val="Nessuno"/>
                <w:sz w:val="20"/>
                <w:szCs w:val="20"/>
                <w:rtl w:val="0"/>
                <w:lang w:val="it-IT"/>
              </w:rPr>
              <w:t>18</w:t>
            </w:r>
          </w:p>
        </w:tc>
        <w:tc>
          <w:tcPr>
            <w:tcW w:type="dxa" w:w="3078"/>
            <w:tcBorders>
              <w:top w:val="nil"/>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e"/>
              <w:spacing w:after="0" w:line="240" w:lineRule="auto"/>
              <w:jc w:val="center"/>
            </w:pPr>
            <w:r>
              <w:rPr>
                <w:rStyle w:val="Nessuno"/>
                <w:sz w:val="20"/>
                <w:szCs w:val="20"/>
                <w:rtl w:val="0"/>
                <w:lang w:val="it-IT"/>
              </w:rPr>
              <w:t>21</w:t>
            </w:r>
          </w:p>
        </w:tc>
      </w:tr>
      <w:tr>
        <w:tblPrEx>
          <w:shd w:val="clear" w:color="auto" w:fill="ced7e7"/>
        </w:tblPrEx>
        <w:trPr>
          <w:trHeight w:val="235" w:hRule="atLeast"/>
        </w:trPr>
        <w:tc>
          <w:tcPr>
            <w:tcW w:type="dxa" w:w="2668"/>
            <w:tcBorders>
              <w:top w:val="single" w:color="000000" w:sz="4"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e"/>
              <w:spacing w:after="0" w:line="240" w:lineRule="auto"/>
            </w:pPr>
            <w:r>
              <w:rPr>
                <w:rStyle w:val="Nessuno"/>
                <w:b w:val="1"/>
                <w:bCs w:val="1"/>
                <w:color w:val="ff0000"/>
                <w:sz w:val="20"/>
                <w:szCs w:val="20"/>
                <w:u w:color="ff0000"/>
                <w:rtl w:val="0"/>
                <w:lang w:val="it-IT"/>
              </w:rPr>
              <w:t>Media  UE</w:t>
            </w:r>
          </w:p>
        </w:tc>
        <w:tc>
          <w:tcPr>
            <w:tcW w:type="dxa" w:w="1930"/>
            <w:tcBorders>
              <w:top w:val="single" w:color="000000" w:sz="4" w:space="0" w:shadow="0" w:frame="0"/>
              <w:left w:val="single" w:color="000000" w:sz="4" w:space="0" w:shadow="0" w:frame="0"/>
              <w:bottom w:val="single" w:color="000000" w:sz="8" w:space="0" w:shadow="0" w:frame="0"/>
              <w:right w:val="nil"/>
            </w:tcBorders>
            <w:shd w:val="clear" w:color="auto" w:fill="auto"/>
            <w:tcMar>
              <w:top w:type="dxa" w:w="80"/>
              <w:left w:type="dxa" w:w="80"/>
              <w:bottom w:type="dxa" w:w="80"/>
              <w:right w:type="dxa" w:w="80"/>
            </w:tcMar>
            <w:vAlign w:val="bottom"/>
          </w:tcPr>
          <w:p>
            <w:pPr>
              <w:pStyle w:val="Normale"/>
              <w:spacing w:after="0" w:line="240" w:lineRule="auto"/>
              <w:jc w:val="center"/>
            </w:pPr>
            <w:r>
              <w:rPr>
                <w:rStyle w:val="Nessuno"/>
                <w:b w:val="1"/>
                <w:bCs w:val="1"/>
                <w:color w:val="ff0000"/>
                <w:sz w:val="20"/>
                <w:szCs w:val="20"/>
                <w:u w:color="ff0000"/>
                <w:rtl w:val="0"/>
                <w:lang w:val="it-IT"/>
              </w:rPr>
              <w:t>20</w:t>
            </w:r>
          </w:p>
        </w:tc>
        <w:tc>
          <w:tcPr>
            <w:tcW w:type="dxa" w:w="3078"/>
            <w:tcBorders>
              <w:top w:val="single" w:color="000000" w:sz="4" w:space="0" w:shadow="0" w:frame="0"/>
              <w:left w:val="nil"/>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Normale"/>
              <w:spacing w:after="0" w:line="240" w:lineRule="auto"/>
              <w:jc w:val="center"/>
            </w:pPr>
            <w:r>
              <w:rPr>
                <w:rStyle w:val="Nessuno"/>
                <w:b w:val="1"/>
                <w:bCs w:val="1"/>
                <w:color w:val="ff0000"/>
                <w:sz w:val="20"/>
                <w:szCs w:val="20"/>
                <w:u w:color="ff0000"/>
                <w:rtl w:val="0"/>
                <w:lang w:val="it-IT"/>
              </w:rPr>
              <w:t>21</w:t>
            </w:r>
          </w:p>
        </w:tc>
      </w:tr>
      <w:tr>
        <w:tblPrEx>
          <w:shd w:val="clear" w:color="auto" w:fill="ced7e7"/>
        </w:tblPrEx>
        <w:trPr>
          <w:trHeight w:val="240" w:hRule="atLeast"/>
        </w:trPr>
        <w:tc>
          <w:tcPr>
            <w:tcW w:type="dxa" w:w="7676"/>
            <w:gridSpan w:val="3"/>
            <w:tcBorders>
              <w:top w:val="single" w:color="000000" w:sz="8" w:space="0" w:shadow="0" w:frame="0"/>
              <w:left w:val="single" w:color="000000" w:sz="8" w:space="0" w:shadow="0" w:frame="0"/>
              <w:bottom w:val="nil"/>
              <w:right w:val="single" w:color="000000" w:sz="4" w:space="0" w:shadow="0" w:frame="0"/>
            </w:tcBorders>
            <w:shd w:val="clear" w:color="auto" w:fill="auto"/>
            <w:tcMar>
              <w:top w:type="dxa" w:w="80"/>
              <w:left w:type="dxa" w:w="80"/>
              <w:bottom w:type="dxa" w:w="80"/>
              <w:right w:type="dxa" w:w="80"/>
            </w:tcMar>
            <w:vAlign w:val="center"/>
          </w:tcPr>
          <w:p>
            <w:pPr>
              <w:pStyle w:val="Normale"/>
              <w:spacing w:after="0" w:line="240" w:lineRule="auto"/>
            </w:pPr>
            <w:r>
              <w:rPr>
                <w:rStyle w:val="Nessuno"/>
                <w:b w:val="1"/>
                <w:bCs w:val="1"/>
                <w:i w:val="1"/>
                <w:iCs w:val="1"/>
                <w:color w:val="002060"/>
                <w:sz w:val="20"/>
                <w:szCs w:val="20"/>
                <w:u w:color="002060"/>
                <w:rtl w:val="0"/>
                <w:lang w:val="it-IT"/>
              </w:rPr>
              <w:t xml:space="preserve">(elaborazione UIL Scuola su dati OCSE </w:t>
            </w:r>
            <w:r>
              <w:rPr>
                <w:rStyle w:val="Nessuno"/>
                <w:b w:val="1"/>
                <w:bCs w:val="1"/>
                <w:i w:val="1"/>
                <w:iCs w:val="1"/>
                <w:color w:val="002060"/>
                <w:sz w:val="20"/>
                <w:szCs w:val="20"/>
                <w:u w:color="002060"/>
                <w:rtl w:val="0"/>
                <w:lang w:val="it-IT"/>
              </w:rPr>
              <w:t>“</w:t>
            </w:r>
            <w:r>
              <w:rPr>
                <w:rStyle w:val="Nessuno"/>
                <w:b w:val="1"/>
                <w:bCs w:val="1"/>
                <w:i w:val="1"/>
                <w:iCs w:val="1"/>
                <w:color w:val="002060"/>
                <w:sz w:val="20"/>
                <w:szCs w:val="20"/>
                <w:u w:color="002060"/>
                <w:rtl w:val="0"/>
                <w:lang w:val="it-IT"/>
              </w:rPr>
              <w:t>Regards sur l'</w:t>
            </w:r>
            <w:r>
              <w:rPr>
                <w:rStyle w:val="Nessuno"/>
                <w:b w:val="1"/>
                <w:bCs w:val="1"/>
                <w:i w:val="1"/>
                <w:iCs w:val="1"/>
                <w:color w:val="002060"/>
                <w:sz w:val="20"/>
                <w:szCs w:val="20"/>
                <w:u w:color="002060"/>
                <w:rtl w:val="0"/>
                <w:lang w:val="it-IT"/>
              </w:rPr>
              <w:t>é</w:t>
            </w:r>
            <w:r>
              <w:rPr>
                <w:rStyle w:val="Nessuno"/>
                <w:b w:val="1"/>
                <w:bCs w:val="1"/>
                <w:i w:val="1"/>
                <w:iCs w:val="1"/>
                <w:color w:val="002060"/>
                <w:sz w:val="20"/>
                <w:szCs w:val="20"/>
                <w:u w:color="002060"/>
                <w:rtl w:val="0"/>
                <w:lang w:val="it-IT"/>
              </w:rPr>
              <w:t>ducation 2017</w:t>
            </w:r>
            <w:r>
              <w:rPr>
                <w:rStyle w:val="Nessuno"/>
                <w:b w:val="1"/>
                <w:bCs w:val="1"/>
                <w:i w:val="1"/>
                <w:iCs w:val="1"/>
                <w:color w:val="002060"/>
                <w:sz w:val="20"/>
                <w:szCs w:val="20"/>
                <w:u w:color="002060"/>
                <w:rtl w:val="0"/>
                <w:lang w:val="it-IT"/>
              </w:rPr>
              <w:t>”</w:t>
            </w:r>
            <w:r>
              <w:rPr>
                <w:rStyle w:val="Nessuno"/>
                <w:b w:val="1"/>
                <w:bCs w:val="1"/>
                <w:i w:val="1"/>
                <w:iCs w:val="1"/>
                <w:color w:val="002060"/>
                <w:sz w:val="20"/>
                <w:szCs w:val="20"/>
                <w:u w:color="002060"/>
                <w:rtl w:val="0"/>
                <w:lang w:val="it-IT"/>
              </w:rPr>
              <w:t>)</w:t>
            </w:r>
          </w:p>
        </w:tc>
      </w:tr>
    </w:tbl>
    <w:p>
      <w:pPr>
        <w:pStyle w:val="Normale"/>
        <w:widowControl w:val="0"/>
        <w:spacing w:line="240" w:lineRule="auto"/>
        <w:jc w:val="center"/>
      </w:pPr>
      <w:r>
        <w:rPr>
          <w:rStyle w:val="Nessuno"/>
          <w:color w:val="0f243e"/>
          <w:sz w:val="24"/>
          <w:szCs w:val="24"/>
          <w:u w:color="0f243e"/>
        </w:rPr>
      </w:r>
    </w:p>
    <w:sectPr>
      <w:headerReference w:type="default" r:id="rId11"/>
      <w:footerReference w:type="default" r:id="rId12"/>
      <w:pgSz w:w="11900" w:h="16840" w:orient="portrait"/>
      <w:pgMar w:top="720" w:right="566" w:bottom="720" w:left="720" w:header="708" w:footer="708"/>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Trebuchet MS">
    <w:charset w:val="00"/>
    <w:family w:val="roman"/>
    <w:pitch w:val="default"/>
  </w:font>
  <w:font w:name="Cambria">
    <w:charset w:val="00"/>
    <w:family w:val="roman"/>
    <w:pitch w:val="default"/>
  </w:font>
  <w:font w:name="Sitka Small">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Piè di pagina"/>
      <w:jc w:val="center"/>
    </w:pPr>
    <w:r>
      <w:rPr/>
      <w:fldChar w:fldCharType="begin" w:fldLock="0"/>
    </w:r>
    <w:r>
      <w:instrText xml:space="preserve"> PAGE </w:instrText>
    </w:r>
    <w:r>
      <w:rPr/>
      <w:fldChar w:fldCharType="separate" w:fldLock="0"/>
    </w:r>
    <w:r>
      <w:t>18</w:t>
    </w:r>
    <w:r>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w:pPr>
    <w:r>
      <w:drawing>
        <wp:inline distT="0" distB="0" distL="0" distR="0">
          <wp:extent cx="1493197" cy="480243"/>
          <wp:effectExtent l="0" t="0" r="0" b="0"/>
          <wp:docPr id="1073741825" name="officeArt object" descr="Logo_UILSCUOLARUA"/>
          <wp:cNvGraphicFramePr/>
          <a:graphic xmlns:a="http://schemas.openxmlformats.org/drawingml/2006/main">
            <a:graphicData uri="http://schemas.openxmlformats.org/drawingml/2006/picture">
              <pic:pic xmlns:pic="http://schemas.openxmlformats.org/drawingml/2006/picture">
                <pic:nvPicPr>
                  <pic:cNvPr id="1073741825" name="Logo_UILSCUOLARUA.png" descr="Logo_UILSCUOLARUA"/>
                  <pic:cNvPicPr>
                    <a:picLocks noChangeAspect="1"/>
                  </pic:cNvPicPr>
                </pic:nvPicPr>
                <pic:blipFill>
                  <a:blip r:embed="rId1">
                    <a:extLst/>
                  </a:blip>
                  <a:stretch>
                    <a:fillRect/>
                  </a:stretch>
                </pic:blipFill>
                <pic:spPr>
                  <a:xfrm>
                    <a:off x="0" y="0"/>
                    <a:ext cx="1493197" cy="480243"/>
                  </a:xfrm>
                  <a:prstGeom prst="rect">
                    <a:avLst/>
                  </a:prstGeom>
                  <a:ln w="12700" cap="flat">
                    <a:noFill/>
                    <a:miter lim="400000"/>
                  </a:ln>
                  <a:effectLst/>
                </pic:spPr>
              </pic:pic>
            </a:graphicData>
          </a:graphic>
        </wp:inline>
      </w:drawing>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Stile importato 1"/>
  </w:abstractNum>
  <w:abstractNum w:abstractNumId="1">
    <w:multiLevelType w:val="hybridMultilevel"/>
    <w:styleLink w:val="Stile importato 1"/>
    <w:lvl w:ilvl="0">
      <w:start w:val="1"/>
      <w:numFmt w:val="bullet"/>
      <w:suff w:val="tab"/>
      <w:lvlText w:val="⇒"/>
      <w:lvlJc w:val="left"/>
      <w:pPr>
        <w:tabs>
          <w:tab w:val="num" w:pos="2124"/>
        </w:tabs>
        <w:ind w:left="2136"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2832"/>
        </w:tabs>
        <w:ind w:left="2844" w:hanging="34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3540"/>
        </w:tabs>
        <w:ind w:left="3552" w:hanging="33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4248"/>
        </w:tabs>
        <w:ind w:left="4260" w:hanging="32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4956"/>
        </w:tabs>
        <w:ind w:left="4968" w:hanging="31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5664"/>
        </w:tabs>
        <w:ind w:left="5676" w:hanging="3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6372"/>
        </w:tabs>
        <w:ind w:left="6384" w:hanging="28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7080"/>
        </w:tabs>
        <w:ind w:left="7092" w:hanging="27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7788"/>
        </w:tabs>
        <w:ind w:left="7800" w:hanging="26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Stile importato 2"/>
  </w:abstractNum>
  <w:abstractNum w:abstractNumId="3">
    <w:multiLevelType w:val="hybridMultilevel"/>
    <w:styleLink w:val="Stile importato 2"/>
    <w:lvl w:ilvl="0">
      <w:start w:val="1"/>
      <w:numFmt w:val="bullet"/>
      <w:suff w:val="tab"/>
      <w:lvlText w:val="-"/>
      <w:lvlJc w:val="left"/>
      <w:pPr>
        <w:ind w:left="567"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287"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007"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727"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447"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167"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887"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607"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327"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Stile importato 3"/>
  </w:abstractNum>
  <w:abstractNum w:abstractNumId="5">
    <w:multiLevelType w:val="hybridMultilevel"/>
    <w:styleLink w:val="Stile importato 3"/>
    <w:lvl w:ilvl="0">
      <w:start w:val="1"/>
      <w:numFmt w:val="bullet"/>
      <w:suff w:val="tab"/>
      <w:lvlText w:val="-"/>
      <w:lvlJc w:val="left"/>
      <w:pPr>
        <w:ind w:left="1211"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931"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651"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371"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091"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811"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531"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251"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971" w:hanging="360"/>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8"/>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w:name w:val="Intestazione"/>
    <w:next w:val="Intestazione"/>
    <w:pPr>
      <w:keepNext w:val="0"/>
      <w:keepLines w:val="0"/>
      <w:pageBreakBefore w:val="0"/>
      <w:widowControl w:val="1"/>
      <w:shd w:val="clear" w:color="auto" w:fill="auto"/>
      <w:tabs>
        <w:tab w:val="center" w:pos="4819"/>
        <w:tab w:val="right" w:pos="9638"/>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it-IT"/>
    </w:rPr>
  </w:style>
  <w:style w:type="paragraph" w:styleId="Piè di pagina">
    <w:name w:val="Piè di pagina"/>
    <w:next w:val="Piè di pagina"/>
    <w:pPr>
      <w:keepNext w:val="0"/>
      <w:keepLines w:val="0"/>
      <w:pageBreakBefore w:val="0"/>
      <w:widowControl w:val="1"/>
      <w:shd w:val="clear" w:color="auto" w:fill="auto"/>
      <w:tabs>
        <w:tab w:val="center" w:pos="4819"/>
        <w:tab w:val="right" w:pos="9638"/>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it-IT"/>
    </w:rPr>
  </w:style>
  <w:style w:type="paragraph" w:styleId="Normale">
    <w:name w:val="Normale"/>
    <w:next w:val="Normale"/>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it-IT"/>
    </w:rPr>
  </w:style>
  <w:style w:type="numbering" w:styleId="Stile importato 1">
    <w:name w:val="Stile importato 1"/>
    <w:pPr>
      <w:numPr>
        <w:numId w:val="1"/>
      </w:numPr>
    </w:pPr>
  </w:style>
  <w:style w:type="numbering" w:styleId="Stile importato 2">
    <w:name w:val="Stile importato 2"/>
    <w:pPr>
      <w:numPr>
        <w:numId w:val="3"/>
      </w:numPr>
    </w:pPr>
  </w:style>
  <w:style w:type="numbering" w:styleId="Stile importato 3">
    <w:name w:val="Stile importato 3"/>
    <w:pPr>
      <w:numPr>
        <w:numId w:val="5"/>
      </w:numPr>
    </w:pPr>
  </w:style>
  <w:style w:type="character" w:styleId="Nessuno">
    <w:name w:val="Nessuno"/>
  </w:style>
  <w:style w:type="character" w:styleId="Hyperlink.0">
    <w:name w:val="Hyperlink.0"/>
    <w:basedOn w:val="Nessuno"/>
    <w:next w:val="Hyperlink.0"/>
    <w:rPr>
      <w:color w:val="0f243e"/>
      <w:sz w:val="24"/>
      <w:szCs w:val="24"/>
      <w:u w:val="single" w:color="0f243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4.jpeg"/><Relationship Id="rId10" Type="http://schemas.openxmlformats.org/officeDocument/2006/relationships/image" Target="media/image3.png"/><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numbering" Target="numbering.xml"/><Relationship Id="rId14" Type="http://schemas.openxmlformats.org/officeDocument/2006/relationships/theme" Target="theme/theme1.xml"/></Relationships>

</file>

<file path=word/_rels/header1.xml.rels><?xml version="1.0" encoding="UTF-8" standalone="yes"?><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