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ind w:firstLine="0"/>
        <w:jc w:val="center"/>
        <w:rPr>
          <w:b w:val="1"/>
          <w:bCs w:val="1"/>
          <w:sz w:val="28"/>
          <w:szCs w:val="28"/>
        </w:rPr>
      </w:pP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9778"/>
            <w:tcBorders>
              <w:top w:val="single" w:color="4f81bd" w:sz="8" w:space="0" w:shadow="0" w:frame="0"/>
              <w:left w:val="nil"/>
              <w:bottom w:val="single" w:color="4f81b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90" w:hRule="atLeast"/>
        </w:trPr>
        <w:tc>
          <w:tcPr>
            <w:tcW w:type="dxa" w:w="9778"/>
            <w:tcBorders>
              <w:top w:val="single" w:color="4f81bd" w:sz="8" w:space="0" w:shadow="0" w:frame="0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 w:val="0"/>
                <w:lang w:val="it-IT"/>
              </w:rPr>
              <w:t xml:space="preserve">BANDO CORSO </w:t>
            </w:r>
            <w:r>
              <w:rPr>
                <w:sz w:val="36"/>
                <w:szCs w:val="36"/>
                <w:rtl w:val="0"/>
                <w:lang w:val="it-IT"/>
              </w:rPr>
              <w:t xml:space="preserve">– </w:t>
            </w:r>
            <w:r>
              <w:rPr>
                <w:sz w:val="36"/>
                <w:szCs w:val="36"/>
                <w:rtl w:val="0"/>
                <w:lang w:val="it-IT"/>
              </w:rPr>
              <w:t xml:space="preserve">CONCORSO </w:t>
            </w:r>
            <w:r>
              <w:rPr>
                <w:sz w:val="36"/>
                <w:szCs w:val="36"/>
                <w:lang w:val="it-IT"/>
              </w:rPr>
              <w:br w:type="textWrapping"/>
            </w:r>
            <w:r>
              <w:rPr>
                <w:sz w:val="36"/>
                <w:szCs w:val="36"/>
                <w:rtl w:val="0"/>
                <w:lang w:val="it-IT"/>
              </w:rPr>
              <w:t>PER IL RECLUTAMENTO DEI DIRIGENTI SCOLASTICI</w:t>
            </w:r>
          </w:p>
          <w:p>
            <w:pPr>
              <w:pStyle w:val="Normal.0"/>
              <w:bidi w:val="0"/>
              <w:ind w:left="0" w:right="0" w:firstLine="284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GAZZETTA UFFICIALE DELLA REPUBBLICA ITALIANA 4a Serie speciale - n. 90  del  24-11-2017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9778"/>
            <w:tcBorders>
              <w:top w:val="nil"/>
              <w:left w:val="nil"/>
              <w:bottom w:val="single" w:color="4f81b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 xml:space="preserve">Il concorso </w:t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 xml:space="preserve">nazionale con unica commissione, organizzato su base regionale, </w:t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lang w:val="it-IT"/>
              </w:rPr>
              <w:br w:type="textWrapping"/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 xml:space="preserve">per il reclutamento di dirigenti scolastici nei ruoli regionali presso </w:t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lang w:val="it-IT"/>
              </w:rPr>
              <w:br w:type="textWrapping"/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>le istituzioni scolastiche statali, inclusi i centri provinciali per l</w:t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595959"/>
                <w:sz w:val="24"/>
                <w:szCs w:val="24"/>
                <w:u w:color="595959"/>
                <w:rtl w:val="0"/>
                <w:lang w:val="it-IT"/>
              </w:rPr>
              <w:t>istruzione degli adulti.</w:t>
            </w:r>
          </w:p>
        </w:tc>
      </w:tr>
    </w:tbl>
    <w:p>
      <w:pPr>
        <w:pStyle w:val="Normal.0"/>
        <w:widowControl w:val="0"/>
        <w:ind w:firstLine="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0"/>
        <w:rPr>
          <w:b w:val="1"/>
          <w:bCs w:val="1"/>
          <w:sz w:val="24"/>
          <w:szCs w:val="24"/>
        </w:rPr>
      </w:pPr>
    </w:p>
    <w:p>
      <w:pPr>
        <w:pStyle w:val="Normal.0"/>
        <w:ind w:firstLine="0"/>
        <w:rPr>
          <w:sz w:val="16"/>
          <w:szCs w:val="16"/>
        </w:rPr>
      </w:pPr>
    </w:p>
    <w:tbl>
      <w:tblPr>
        <w:tblW w:w="10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7686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0062"/>
            <w:gridSpan w:val="2"/>
            <w:tcBorders>
              <w:top w:val="single" w:color="4f81bd" w:sz="8" w:space="0" w:shadow="0" w:frame="0"/>
              <w:left w:val="nil"/>
              <w:bottom w:val="single" w:color="4f81b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left"/>
            </w:pPr>
            <w:r>
              <w:rPr>
                <w:sz w:val="24"/>
                <w:szCs w:val="24"/>
                <w:rtl w:val="0"/>
                <w:lang w:val="it-IT"/>
              </w:rPr>
              <w:t xml:space="preserve">REQUISITI DI AMMISSIONE </w:t>
            </w:r>
            <w:r>
              <w:rPr>
                <w:sz w:val="24"/>
                <w:szCs w:val="24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2376"/>
            <w:tcBorders>
              <w:top w:val="single" w:color="4f81bd" w:sz="8" w:space="0" w:shadow="0" w:frame="0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rPr>
                <w:i w:val="1"/>
                <w:iCs w:val="1"/>
                <w:sz w:val="24"/>
                <w:szCs w:val="24"/>
              </w:rPr>
            </w:pPr>
            <w:r>
              <w:rPr>
                <w:i w:val="1"/>
                <w:iCs w:val="1"/>
                <w:sz w:val="24"/>
                <w:szCs w:val="24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Titolo d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accesso</w:t>
            </w:r>
          </w:p>
        </w:tc>
        <w:tc>
          <w:tcPr>
            <w:tcW w:type="dxa" w:w="7686"/>
            <w:tcBorders>
              <w:top w:val="single" w:color="4f81bd" w:sz="8" w:space="0" w:shadow="0" w:frame="0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before="0" w:line="240" w:lineRule="auto"/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lang w:val="it-IT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laurea magistrale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, specialistica ovvero di laurea conseguita in base al previgente ordinamento;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diploma accademico di secondo livello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 rilasciato dalle istituzioni dell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alta formazione artistica, musicale e coreutica;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diploma accademico di vecchio ordinamento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 congiunto con diploma di istituto secondario superiore.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1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rPr>
                <w:i w:val="1"/>
                <w:iCs w:val="1"/>
                <w:sz w:val="24"/>
                <w:szCs w:val="24"/>
                <w:lang w:val="it-IT"/>
              </w:rPr>
            </w:pPr>
          </w:p>
          <w:p>
            <w:pPr>
              <w:pStyle w:val="Normal.0"/>
              <w:ind w:firstLine="0"/>
              <w:rPr>
                <w:i w:val="1"/>
                <w:iCs w:val="1"/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Titoli di servizio</w:t>
            </w:r>
          </w:p>
        </w:tc>
        <w:tc>
          <w:tcPr>
            <w:tcW w:type="dxa" w:w="7686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spacing w:before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ruolo nelle scuole statali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 con un'anzianit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di servizio di almeno cinque anni, compreso quello prestato fuori ruolo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u w:val="single"/>
                <w:rtl w:val="0"/>
                <w:lang w:val="it-IT"/>
              </w:rPr>
              <w:t>nelle istituzioni scolastiche ed educative del sistema nazionale di istruzione, quindi anche paritarie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. (centottanta giorni o ininterrottamente dal primo febbraio fino al termine delle operazioni di scrutinio finale).</w:t>
            </w:r>
          </w:p>
          <w:p>
            <w:pPr>
              <w:pStyle w:val="List Paragraph"/>
              <w:tabs>
                <w:tab w:val="left" w:pos="318"/>
              </w:tabs>
              <w:bidi w:val="0"/>
              <w:spacing w:before="0" w:line="240" w:lineRule="auto"/>
              <w:ind w:left="34" w:right="0" w:firstLine="0"/>
              <w:jc w:val="both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Si considera valido 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il servizio di ruolo effettivamente prestato con esclusione dei periodi di retrodatazione giuridica.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48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istanza di partecipazione avviene esclusivamente attraverso POLIS, a partire dalle ore 9:00 del 29 novembre 2017 e fino alle ore 14:00 del 29 dicembre 2017.</w:t>
            </w:r>
          </w:p>
          <w:p>
            <w:pPr>
              <w:pStyle w:val="Normal.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E</w:t>
            </w:r>
            <w:r>
              <w:rPr>
                <w:sz w:val="24"/>
                <w:szCs w:val="24"/>
                <w:rtl w:val="0"/>
                <w:lang w:val="it-IT"/>
              </w:rPr>
              <w:t xml:space="preserve">’ </w:t>
            </w:r>
            <w:r>
              <w:rPr>
                <w:sz w:val="24"/>
                <w:szCs w:val="24"/>
                <w:rtl w:val="0"/>
                <w:lang w:val="it-IT"/>
              </w:rPr>
              <w:t xml:space="preserve">dovuto il pagamento di un diritto di segreteria pari ad </w:t>
            </w:r>
            <w:r>
              <w:rPr>
                <w:sz w:val="24"/>
                <w:szCs w:val="24"/>
                <w:rtl w:val="0"/>
                <w:lang w:val="it-IT"/>
              </w:rPr>
              <w:t xml:space="preserve">€ </w:t>
            </w:r>
            <w:r>
              <w:rPr>
                <w:sz w:val="24"/>
                <w:szCs w:val="24"/>
                <w:rtl w:val="0"/>
                <w:lang w:val="it-IT"/>
              </w:rPr>
              <w:t>10,00 (dieci).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Nell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istanza sono comunque indicati, pena esclusione, la scelta della lingua straniera tra inglese, francese, tedesco o spagnolo.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CONTINGENTE POSTI </w:t>
            </w:r>
          </w:p>
          <w:p>
            <w:pPr>
              <w:pStyle w:val="Normal.0"/>
              <w:ind w:firstLine="0"/>
            </w:pP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2416 posti a livello nazionale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9 posti alle scuole con lingua di insegnamento slovena e con insegnamento bilingue sloveno-italiano della regione autonoma del FVG.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2900 posti destinati al corso di formazione nazionale</w:t>
            </w:r>
            <w:r>
              <w:rPr>
                <w:rFonts w:ascii="Calibri" w:cs="Calibri" w:hAnsi="Calibri" w:eastAsia="Calibri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520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rPr>
                <w:i w:val="1"/>
                <w:iCs w:val="1"/>
                <w:sz w:val="24"/>
                <w:szCs w:val="24"/>
                <w:lang w:val="it-IT"/>
              </w:rPr>
            </w:pPr>
          </w:p>
          <w:p>
            <w:pPr>
              <w:pStyle w:val="Normal.0"/>
              <w:ind w:firstLine="0"/>
              <w:rPr>
                <w:i w:val="1"/>
                <w:iCs w:val="1"/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Prove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concorsuali</w:t>
            </w:r>
            <w:r>
              <w:rPr>
                <w:i w:val="1"/>
                <w:iCs w:val="1"/>
                <w:sz w:val="24"/>
                <w:szCs w:val="24"/>
              </w:rPr>
            </w:r>
          </w:p>
        </w:tc>
        <w:tc>
          <w:tcPr>
            <w:tcW w:type="dxa" w:w="76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176"/>
              </w:tabs>
              <w:spacing w:before="0" w:line="240" w:lineRule="auto"/>
              <w:ind w:left="34" w:firstLine="0"/>
            </w:pP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prova di preselezione (eventuale)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prova scritta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prova orale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corso di formazione (durata due mesi)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tirocinio (durata quattro mesi)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prova scritta teorico-pratica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prova orale finale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704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color w:val="1f497d"/>
                <w:sz w:val="28"/>
                <w:szCs w:val="28"/>
                <w:u w:color="1f497d"/>
                <w:rtl w:val="0"/>
              </w:rPr>
            </w:pPr>
            <w:r>
              <w:rPr>
                <w:color w:val="1f497d"/>
                <w:sz w:val="28"/>
                <w:szCs w:val="28"/>
                <w:u w:color="1f497d"/>
                <w:rtl w:val="0"/>
                <w:lang w:val="it-IT"/>
              </w:rPr>
              <w:t>PROVA PRESELETTIVA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 xml:space="preserve">eventuale prova preselettiva, 100 quesiti, della durata di 100 minuti, 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organizzata, su tutto il territorio nazionale, nelle sedi individuate dagli USR, anche in pi</w:t>
            </w:r>
            <w:r>
              <w:rPr>
                <w:sz w:val="24"/>
                <w:szCs w:val="24"/>
                <w:rtl w:val="0"/>
                <w:lang w:val="it-IT"/>
              </w:rPr>
              <w:t xml:space="preserve">ù </w:t>
            </w:r>
            <w:r>
              <w:rPr>
                <w:sz w:val="24"/>
                <w:szCs w:val="24"/>
                <w:rtl w:val="0"/>
                <w:lang w:val="it-IT"/>
              </w:rPr>
              <w:t>sessioni in relazione al numero dei candidati.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I quesiti sono estratti da una banca dati di 4000 quesiti resa nota tramite pubblicazione sul sito internet del Ministero, almeno 20 giorni prima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avvio della prova preselettiva.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ordine dei 100 quesiti, somministrati sar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diversificato per ciascun candidato.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MAX 100,00 PUNTI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Risposta esatta        </w:t>
              <w:tab/>
              <w:t xml:space="preserve">   1,0 PUNTI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Risposta non data  </w:t>
              <w:tab/>
              <w:t xml:space="preserve">   0,0 PUNTI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Risposta errata        </w:t>
              <w:tab/>
              <w:t xml:space="preserve"> - 0,3 PUNTI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Lo svolgimento della prova preselettiva 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 xml:space="preserve">computerizzato e il punteggio 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restituito al termine della stessa.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In Gazzetta Ufficiale della Repubblica italiana del 27 febbraio 2018 e sul sito internet del Ministero, 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reso noto il calendario della eventuale prova preselettiva comprensivo del giorno e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ora di svolgimento.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Il punteggio non concorre alla formazione del punteggio finale nella graduatoria di merito del concorso di accesso al corso di formazione dirigenziale e tirocinio.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47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color w:val="1f497d"/>
                <w:sz w:val="28"/>
                <w:szCs w:val="28"/>
                <w:u w:color="1f497d"/>
                <w:rtl w:val="0"/>
              </w:rPr>
            </w:pPr>
            <w:r>
              <w:rPr>
                <w:color w:val="1f497d"/>
                <w:sz w:val="28"/>
                <w:szCs w:val="28"/>
                <w:u w:color="1f497d"/>
                <w:rtl w:val="0"/>
                <w:lang w:val="it-IT"/>
              </w:rPr>
              <w:t>PROVA SCRITTA</w:t>
            </w:r>
          </w:p>
          <w:p>
            <w:pPr>
              <w:pStyle w:val="Normal.0"/>
              <w:ind w:firstLine="0"/>
              <w:jc w:val="left"/>
              <w:rPr>
                <w:sz w:val="24"/>
                <w:szCs w:val="24"/>
                <w:lang w:val="it-IT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La prova scritta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unica su tutto il territorio nazionale e si svolge in una unica data, in una o pi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ù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regioni, scelte dal Ministero, nelle sedi individuate dagli USR.</w:t>
            </w:r>
          </w:p>
          <w:p>
            <w:pPr>
              <w:pStyle w:val="Body Text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Con avviso in  Gazzetta Ufficiale e sul sito internet del Ministero,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reso noto il giorno e 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ora di svolgimento della prova scritta.</w:t>
            </w:r>
          </w:p>
          <w:p>
            <w:pPr>
              <w:pStyle w:val="Body Text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La prova scritta ha la durata di 150 minuti e, con 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ausilio di sistemi informatici, consiste in</w:t>
            </w:r>
          </w:p>
          <w:p>
            <w:pPr>
              <w:pStyle w:val="Body Text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Normal.0"/>
              <w:tabs>
                <w:tab w:val="left" w:pos="284"/>
              </w:tabs>
              <w:bidi w:val="0"/>
              <w:ind w:left="0" w:right="195" w:firstLine="0"/>
              <w:jc w:val="center"/>
              <w:rPr>
                <w:color w:val="365f91"/>
                <w:sz w:val="28"/>
                <w:szCs w:val="28"/>
                <w:u w:color="365f91"/>
                <w:rtl w:val="0"/>
              </w:rPr>
            </w:pPr>
            <w:r>
              <w:rPr>
                <w:color w:val="365f91"/>
                <w:sz w:val="28"/>
                <w:szCs w:val="28"/>
                <w:u w:color="365f91"/>
                <w:rtl w:val="0"/>
                <w:lang w:val="it-IT"/>
              </w:rPr>
              <w:t>cinque quesiti, a risposta aperta, sulle seguenti materie</w:t>
            </w:r>
          </w:p>
          <w:p>
            <w:pPr>
              <w:pStyle w:val="Normal.0"/>
              <w:tabs>
                <w:tab w:val="left" w:pos="284"/>
              </w:tabs>
              <w:ind w:right="195"/>
              <w:jc w:val="left"/>
              <w:rPr>
                <w:color w:val="365f91"/>
                <w:sz w:val="28"/>
                <w:szCs w:val="28"/>
                <w:u w:color="365f91"/>
                <w:lang w:val="it-IT"/>
              </w:rPr>
            </w:pPr>
          </w:p>
          <w:p>
            <w:pPr>
              <w:pStyle w:val="List Paragraph"/>
              <w:numPr>
                <w:ilvl w:val="1"/>
                <w:numId w:val="5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normativa riferita al sistema educativo di istruzione e di formazione e agli ordinamenti degli studi in Italia con particolare attenzione ai processi di riforma in  atto;</w:t>
            </w:r>
          </w:p>
          <w:p>
            <w:pPr>
              <w:pStyle w:val="List Paragraph"/>
              <w:numPr>
                <w:ilvl w:val="1"/>
                <w:numId w:val="5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modalit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di conduzione delle organizzazioni complesse, con particolare riferimento alla realt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delle istituzioni scolastiche ed educative statali;</w:t>
            </w:r>
          </w:p>
          <w:p>
            <w:pPr>
              <w:pStyle w:val="List Paragraph"/>
              <w:numPr>
                <w:ilvl w:val="1"/>
                <w:numId w:val="6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processi di programmazione, gestione e valutazione delle istituzioni scolastiche, con particolare riferimento alla predisposizione e gestione del Piano Triennale dell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Offerta Formativa, all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elaborazione del Rapporto di Autovalutazione e del Piano di Miglioramento, nel quadro dell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autonomia delle istituzioni scolastiche e in rap- porto alle esigenze formative del territorio;</w:t>
            </w:r>
          </w:p>
          <w:p>
            <w:pPr>
              <w:pStyle w:val="List Paragraph"/>
              <w:numPr>
                <w:ilvl w:val="1"/>
                <w:numId w:val="7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organizzazione degli ambienti di apprendimento, con particolare riferimento all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inclusione scolastica, all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innovazione digitale e ai processi di innovazione nella didattica;</w:t>
            </w:r>
          </w:p>
          <w:p>
            <w:pPr>
              <w:pStyle w:val="List Paragraph"/>
              <w:numPr>
                <w:ilvl w:val="1"/>
                <w:numId w:val="5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organizzazione del lavoro e gestione del personale, con particolare riferimento alla realt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del personale scolastico;</w:t>
            </w:r>
          </w:p>
          <w:p>
            <w:pPr>
              <w:pStyle w:val="List Paragraph"/>
              <w:numPr>
                <w:ilvl w:val="1"/>
                <w:numId w:val="7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 valutazione ed autovalutazione del personale, degli apprendimenti e dei sistemi e dei processi scolastici;</w:t>
            </w:r>
          </w:p>
          <w:p>
            <w:pPr>
              <w:pStyle w:val="List Paragraph"/>
              <w:numPr>
                <w:ilvl w:val="1"/>
                <w:numId w:val="8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elementi di diritto civile e amministrativo, con particolare riferimento alle obbligazioni giuridiche e alle responsabilit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tipiche del dirigente scolastico, nonch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é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di diritto penale con particolare riferimento ai delitti contro la Pubblica Amministrazione e in danno di minorenni;</w:t>
            </w:r>
          </w:p>
          <w:p>
            <w:pPr>
              <w:pStyle w:val="List Paragraph"/>
              <w:numPr>
                <w:ilvl w:val="1"/>
                <w:numId w:val="8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contabilit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di Stato, con particolare riferimento alla programmazione e gestione finanziaria presso le istituzioni scolastiche ed educative statali e relative aziende speciali;</w:t>
            </w:r>
          </w:p>
          <w:p>
            <w:pPr>
              <w:pStyle w:val="List Paragraph"/>
              <w:numPr>
                <w:ilvl w:val="1"/>
                <w:numId w:val="9"/>
              </w:numPr>
              <w:bidi w:val="0"/>
              <w:spacing w:before="0" w:line="240" w:lineRule="auto"/>
              <w:ind w:right="195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sistemi educativi dei Paesi dell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Unione Europea.</w:t>
            </w:r>
          </w:p>
          <w:p>
            <w:pPr>
              <w:pStyle w:val="List Paragraph"/>
              <w:tabs>
                <w:tab w:val="left" w:pos="284"/>
                <w:tab w:val="left" w:pos="800"/>
              </w:tabs>
              <w:spacing w:before="0" w:line="240" w:lineRule="auto"/>
              <w:ind w:left="0" w:right="195" w:firstLine="0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Normal.0"/>
              <w:tabs>
                <w:tab w:val="left" w:pos="573"/>
              </w:tabs>
              <w:bidi w:val="0"/>
              <w:ind w:left="0" w:right="0" w:firstLine="284"/>
              <w:jc w:val="both"/>
              <w:rPr>
                <w:color w:val="365f91"/>
                <w:sz w:val="28"/>
                <w:szCs w:val="28"/>
                <w:u w:color="365f91"/>
                <w:rtl w:val="0"/>
              </w:rPr>
            </w:pPr>
            <w:r>
              <w:rPr>
                <w:color w:val="365f91"/>
                <w:sz w:val="28"/>
                <w:szCs w:val="28"/>
                <w:u w:color="365f91"/>
                <w:rtl w:val="0"/>
                <w:lang w:val="it-IT"/>
              </w:rPr>
              <w:t>Due quesiti in lingua straniera (livello B2 del Common European Framework CFW)</w:t>
            </w:r>
          </w:p>
          <w:p>
            <w:pPr>
              <w:pStyle w:val="Normal.0"/>
              <w:tabs>
                <w:tab w:val="left" w:pos="573"/>
              </w:tabs>
              <w:bidi w:val="0"/>
              <w:ind w:left="284" w:right="0" w:firstLine="0"/>
              <w:jc w:val="both"/>
              <w:rPr>
                <w:color w:val="1f497d"/>
                <w:sz w:val="24"/>
                <w:szCs w:val="24"/>
                <w:u w:color="1f497d"/>
                <w:rtl w:val="0"/>
              </w:rPr>
            </w:pPr>
            <w:r>
              <w:rPr>
                <w:color w:val="1f497d"/>
                <w:sz w:val="24"/>
                <w:szCs w:val="24"/>
                <w:u w:color="1f497d"/>
                <w:rtl w:val="0"/>
                <w:lang w:val="it-IT"/>
              </w:rPr>
              <w:t>articolati in cinque domande a risposta chiusa, volte a verificare la comprensione di un testo nella lingua prescelta dal candidato.</w:t>
            </w:r>
          </w:p>
          <w:p>
            <w:pPr>
              <w:pStyle w:val="List Paragraph"/>
              <w:tabs>
                <w:tab w:val="left" w:pos="561"/>
              </w:tabs>
              <w:spacing w:before="0" w:line="240" w:lineRule="auto"/>
              <w:ind w:left="142" w:hanging="142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List Paragraph"/>
              <w:tabs>
                <w:tab w:val="left" w:pos="561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A ciascuno dei cinque quesiti della prova scritta non espressi in lingua straniera,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attribuito un punteggio nel limite massimo di 16 punti.</w:t>
            </w:r>
          </w:p>
          <w:p>
            <w:pPr>
              <w:pStyle w:val="Normal.0"/>
              <w:tabs>
                <w:tab w:val="left" w:pos="561"/>
              </w:tabs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 A ciascuno dei quesiti in lingua straniera la Commissione attribuisce un punteggio nel limite massimo di 10 punti, 2 per ciascuna risposta corretta.</w:t>
            </w:r>
          </w:p>
          <w:p>
            <w:pPr>
              <w:pStyle w:val="List Paragraph"/>
              <w:tabs>
                <w:tab w:val="left" w:pos="539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I candidati che ottengono un punteggio complessivo pari o superiore a 70 punti superano la prova scritta e sono ammessi a quella orale.</w:t>
            </w:r>
            <w:r>
              <w:rPr>
                <w:rFonts w:ascii="Calibri" w:cs="Calibri" w:hAnsi="Calibri" w:eastAsia="Calibri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539"/>
              </w:tabs>
              <w:spacing w:before="0" w:line="240" w:lineRule="auto"/>
              <w:ind w:left="0" w:firstLine="0"/>
              <w:jc w:val="center"/>
              <w:rPr>
                <w:rFonts w:ascii="Calibri" w:cs="Calibri" w:hAnsi="Calibri" w:eastAsia="Calibri"/>
                <w:color w:val="1f497d"/>
                <w:sz w:val="28"/>
                <w:szCs w:val="28"/>
                <w:u w:color="1f497d"/>
              </w:rPr>
            </w:pPr>
            <w:r>
              <w:rPr>
                <w:rFonts w:ascii="Calibri" w:cs="Calibri" w:hAnsi="Calibri" w:eastAsia="Calibri"/>
                <w:color w:val="000000"/>
                <w:sz w:val="24"/>
                <w:szCs w:val="24"/>
                <w:u w:color="000000"/>
                <w:lang w:val="it-IT"/>
              </w:rPr>
              <w:br w:type="textWrapping"/>
            </w:r>
            <w:r>
              <w:rPr>
                <w:rFonts w:ascii="Calibri" w:cs="Calibri" w:hAnsi="Calibri" w:eastAsia="Calibri"/>
                <w:color w:val="1f497d"/>
                <w:sz w:val="28"/>
                <w:szCs w:val="28"/>
                <w:u w:color="1f497d"/>
                <w:rtl w:val="0"/>
                <w:lang w:val="it-IT"/>
              </w:rPr>
              <w:t>PROVA ORALE</w:t>
            </w:r>
          </w:p>
          <w:p>
            <w:pPr>
              <w:pStyle w:val="List Paragraph"/>
              <w:tabs>
                <w:tab w:val="left" w:pos="539"/>
              </w:tabs>
              <w:spacing w:before="0" w:line="240" w:lineRule="auto"/>
              <w:ind w:left="0" w:firstLine="0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Normal.0"/>
              <w:tabs>
                <w:tab w:val="left" w:pos="547"/>
              </w:tabs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La prova orale consiste in un colloquio sulle materie d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esame che: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accerta la preparazione professionale del candidato sulle medesime e sulla verifica della capacit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di risolvere un caso riguardante la funzione del dirigente</w:t>
            </w:r>
            <w:r>
              <w:rPr>
                <w:rFonts w:ascii="Calibri" w:cs="Calibri" w:hAnsi="Calibri" w:eastAsia="Calibri"/>
                <w:spacing w:val="24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scolastico (punteggio max 82);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verifica la conoscenza degli strumenti informatici e delle tecnologie della comunicazione normalmente in uso presso le istituzioni scolastiche  (punteggio max 6);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verifica la conoscenza della lingua prescelta dal candidato tra francese, inglese, tedesco e spagnolo al livello B2 del </w:t>
            </w:r>
            <w:r>
              <w:rPr>
                <w:rFonts w:ascii="Calibri" w:cs="Calibri" w:hAnsi="Calibri" w:eastAsia="Calibri"/>
                <w:spacing w:val="-5"/>
                <w:sz w:val="24"/>
                <w:szCs w:val="24"/>
                <w:rtl w:val="0"/>
                <w:lang w:val="it-IT"/>
              </w:rPr>
              <w:t xml:space="preserve">CEF,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attraverso la lettura e traduzione di un testo scelto dalla Commissione ed una conversazione nella lingua</w:t>
            </w:r>
            <w:r>
              <w:rPr>
                <w:rFonts w:ascii="Calibri" w:cs="Calibri" w:hAnsi="Calibri" w:eastAsia="Calibri"/>
                <w:spacing w:val="16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prescelta.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(punteggio max 12).</w:t>
            </w:r>
          </w:p>
          <w:p>
            <w:pPr>
              <w:pStyle w:val="List Paragraph"/>
              <w:tabs>
                <w:tab w:val="left" w:pos="547"/>
              </w:tabs>
              <w:spacing w:before="0" w:line="240" w:lineRule="auto"/>
              <w:ind w:left="284" w:firstLine="0"/>
              <w:rPr>
                <w:rFonts w:ascii="Calibri" w:cs="Calibri" w:hAnsi="Calibri" w:eastAsia="Calibri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547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La prova orale 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superata dai candidati che ottengono un punteggio complessivo pari o superiore a 70</w:t>
            </w:r>
            <w:r>
              <w:rPr>
                <w:spacing w:val="16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rtl w:val="0"/>
                <w:lang w:val="it-IT"/>
              </w:rPr>
              <w:t>punti.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20" w:hRule="atLeast"/>
        </w:trPr>
        <w:tc>
          <w:tcPr>
            <w:tcW w:type="dxa" w:w="10062"/>
            <w:gridSpan w:val="2"/>
            <w:tcBorders>
              <w:top w:val="nil"/>
              <w:left w:val="nil"/>
              <w:bottom w:val="single" w:color="4f81b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539"/>
              </w:tabs>
              <w:spacing w:before="0" w:line="240" w:lineRule="auto"/>
              <w:ind w:left="0" w:firstLine="0"/>
              <w:jc w:val="center"/>
              <w:rPr>
                <w:rFonts w:ascii="Calibri" w:cs="Calibri" w:hAnsi="Calibri" w:eastAsia="Calibri"/>
                <w:color w:val="1f497d"/>
                <w:sz w:val="28"/>
                <w:szCs w:val="28"/>
                <w:u w:color="1f497d"/>
              </w:rPr>
            </w:pPr>
            <w:r>
              <w:rPr>
                <w:rFonts w:ascii="Calibri" w:cs="Calibri" w:hAnsi="Calibri" w:eastAsia="Calibri"/>
                <w:color w:val="1f497d"/>
                <w:sz w:val="28"/>
                <w:szCs w:val="28"/>
                <w:u w:color="1f497d"/>
                <w:rtl w:val="0"/>
                <w:lang w:val="it-IT"/>
              </w:rPr>
              <w:t>GRADUATORIA DEL CONCORSO E CORSO DI FORMAZIONE DIRIGENZIALE</w:t>
            </w:r>
          </w:p>
          <w:p>
            <w:pPr>
              <w:pStyle w:val="List Paragraph"/>
              <w:tabs>
                <w:tab w:val="left" w:pos="539"/>
              </w:tabs>
              <w:spacing w:before="0" w:line="240" w:lineRule="auto"/>
              <w:ind w:left="0" w:firstLine="0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List Paragraph"/>
              <w:tabs>
                <w:tab w:val="left" w:pos="585"/>
              </w:tabs>
              <w:bidi w:val="0"/>
              <w:spacing w:before="0" w:line="240" w:lineRule="auto"/>
              <w:ind w:left="0" w:right="195" w:firstLine="0"/>
              <w:jc w:val="both"/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La Commissione del concorso determina il punteggio da riconoscere ai titoli soltanto per i candidati che hanno superato la prova orale e che saranno inseriti nella graduatoria generale di merito per l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accesso al corso di formazione dirigenziale, col punteggio dato dalla somma di tutti i punteggi.</w:t>
            </w:r>
          </w:p>
          <w:p>
            <w:pPr>
              <w:pStyle w:val="List Paragraph"/>
              <w:tabs>
                <w:tab w:val="left" w:pos="539"/>
              </w:tabs>
              <w:spacing w:before="0" w:line="240" w:lineRule="auto"/>
              <w:ind w:left="0" w:firstLine="0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u w:val="single"/>
                <w:rtl w:val="0"/>
                <w:lang w:val="it-IT"/>
              </w:rPr>
              <w:t>Il corso di formazione dirigenziale che potr</w:t>
            </w:r>
            <w:r>
              <w:rPr>
                <w:sz w:val="24"/>
                <w:szCs w:val="24"/>
                <w:u w:val="single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u w:val="single"/>
                <w:rtl w:val="0"/>
                <w:lang w:val="it-IT"/>
              </w:rPr>
              <w:t>essere organizzato a livello regionale comprender</w:t>
            </w:r>
            <w:r>
              <w:rPr>
                <w:sz w:val="24"/>
                <w:szCs w:val="24"/>
                <w:u w:val="single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: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due mesi di formazione generale;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1"/>
                <w:szCs w:val="21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quattro mesi di tirocinio integrati da momenti di formazione erogabili anche a distanza; </w:t>
            </w:r>
          </w:p>
          <w:p>
            <w:pPr>
              <w:pStyle w:val="List Paragraph"/>
              <w:ind w:left="284" w:firstLine="0"/>
              <w:jc w:val="left"/>
              <w:rPr>
                <w:sz w:val="21"/>
                <w:szCs w:val="21"/>
                <w:lang w:val="it-IT"/>
              </w:rPr>
            </w:pPr>
          </w:p>
          <w:p>
            <w:pPr>
              <w:pStyle w:val="List Paragraph"/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Sono ammessi al tirocinio tutti i candidati che abbiano frequentato almeno 180 ore delle 240 previste per il corso di formazione dirigenziale.</w:t>
            </w:r>
          </w:p>
          <w:p>
            <w:pPr>
              <w:pStyle w:val="List Paragraph"/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La relativa certificazione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rilasciata dall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Universit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presso la quale si svolge il corso di formazione.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Al termine del tirocinio 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prevista: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Una prova scritta che consiste in un elaborato di carattere teorico-pratico, sulle materie oggetto dei moduli formativi previsti dal Regolamento (art. 17) ed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valutata in centesimi.</w:t>
            </w:r>
          </w:p>
          <w:p>
            <w:pPr>
              <w:pStyle w:val="List Paragraph"/>
              <w:bidi w:val="0"/>
              <w:spacing w:before="0" w:line="240" w:lineRule="auto"/>
              <w:ind w:left="284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Superano la prova coloro che conseguono una votazione almeno pari a 70 centesimi.</w:t>
            </w:r>
          </w:p>
          <w:p>
            <w:pPr>
              <w:pStyle w:val="Normal.0"/>
              <w:ind w:firstLine="0"/>
              <w:rPr>
                <w:sz w:val="24"/>
                <w:szCs w:val="24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before="0" w:line="240" w:lineRule="auto"/>
              <w:ind w:right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Una prova orale di carattere teorico pratico, con una relazione scritta sulle attivit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svolte durante il tirocinio. Il colloquio consiste in quattro domande, una per ognuno dei moduli formativi (Art. 17), estratte dal candidato, nonch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é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in una domanda di carattere tecnico pratico relativa al tirocinio svolto. A ciascuna delle cinque domande viene attribuito un punteggio nel limite massimo di venti punti. Il colloquio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valutato in centesimi. Superano il colloquio coloro che conseguono una votazione almeno pari a 70 centesimi. </w:t>
            </w:r>
          </w:p>
          <w:p>
            <w:pPr>
              <w:pStyle w:val="Normal.0"/>
              <w:ind w:firstLine="0"/>
              <w:jc w:val="left"/>
              <w:rPr>
                <w:sz w:val="24"/>
                <w:szCs w:val="24"/>
                <w:lang w:val="it-IT"/>
              </w:rPr>
            </w:pPr>
          </w:p>
          <w:p>
            <w:pPr>
              <w:pStyle w:val="Normal.0"/>
              <w:tabs>
                <w:tab w:val="left" w:pos="547"/>
              </w:tabs>
              <w:bidi w:val="0"/>
              <w:ind w:left="0" w:right="195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Dal colloquio conclusivo uscir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la graduatoria finale di merito, nazionale, per la nomina dei vincitori.</w:t>
            </w:r>
          </w:p>
          <w:p>
            <w:pPr>
              <w:pStyle w:val="List Paragraph"/>
              <w:tabs>
                <w:tab w:val="left" w:pos="539"/>
              </w:tabs>
              <w:spacing w:before="0" w:line="240" w:lineRule="auto"/>
              <w:ind w:left="0" w:firstLine="0"/>
              <w:jc w:val="left"/>
              <w:rPr>
                <w:rFonts w:ascii="Calibri" w:cs="Calibri" w:hAnsi="Calibri" w:eastAsia="Calibri"/>
                <w:sz w:val="24"/>
                <w:szCs w:val="24"/>
                <w:lang w:val="it-IT"/>
              </w:rPr>
            </w:pPr>
          </w:p>
          <w:p>
            <w:pPr>
              <w:pStyle w:val="List Paragraph"/>
              <w:tabs>
                <w:tab w:val="left" w:pos="539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olor w:val="000000"/>
                <w:sz w:val="24"/>
                <w:szCs w:val="24"/>
                <w:u w:color="000000"/>
                <w:rtl w:val="0"/>
                <w:lang w:val="it-IT"/>
              </w:rPr>
              <w:t>I vincitori sono assegnati ai ruoli regionali sulla base dell</w:t>
            </w:r>
            <w:r>
              <w:rPr>
                <w:rFonts w:ascii="Calibri" w:cs="Calibri" w:hAnsi="Calibri" w:eastAsia="Calibri"/>
                <w:color w:val="000000"/>
                <w:sz w:val="24"/>
                <w:szCs w:val="24"/>
                <w:u w:color="00000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color w:val="000000"/>
                <w:sz w:val="24"/>
                <w:szCs w:val="24"/>
                <w:u w:color="000000"/>
                <w:rtl w:val="0"/>
                <w:lang w:val="it-IT"/>
              </w:rPr>
              <w:t>ordine di graduatoria e delle preferenze espresse dai vincitori stessi all</w:t>
            </w:r>
            <w:r>
              <w:rPr>
                <w:rFonts w:ascii="Calibri" w:cs="Calibri" w:hAnsi="Calibri" w:eastAsia="Calibri"/>
                <w:color w:val="000000"/>
                <w:sz w:val="24"/>
                <w:szCs w:val="24"/>
                <w:u w:color="00000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color w:val="000000"/>
                <w:sz w:val="24"/>
                <w:szCs w:val="24"/>
                <w:u w:color="000000"/>
                <w:rtl w:val="0"/>
                <w:lang w:val="it-IT"/>
              </w:rPr>
              <w:t>atto dello scorrimento della graduatoria, nel limite dei posti vacanti e disponibili ciascun anno e in ciascun USR.</w:t>
            </w:r>
          </w:p>
        </w:tc>
      </w:tr>
    </w:tbl>
    <w:p>
      <w:pPr>
        <w:pStyle w:val="Normal.0"/>
        <w:widowControl w:val="0"/>
        <w:ind w:firstLine="0"/>
        <w:rPr>
          <w:sz w:val="16"/>
          <w:szCs w:val="16"/>
        </w:rPr>
      </w:pPr>
    </w:p>
    <w:p>
      <w:pPr>
        <w:pStyle w:val="Normal.0"/>
        <w:ind w:firstLine="0"/>
        <w:rPr>
          <w:sz w:val="24"/>
          <w:szCs w:val="24"/>
        </w:rPr>
      </w:pPr>
    </w:p>
    <w:p>
      <w:pPr>
        <w:pStyle w:val="Normal.0"/>
        <w:ind w:firstLine="0"/>
        <w:rPr>
          <w:sz w:val="24"/>
          <w:szCs w:val="24"/>
        </w:rPr>
      </w:pPr>
    </w:p>
    <w:p>
      <w:pPr>
        <w:pStyle w:val="Normal.0"/>
        <w:tabs>
          <w:tab w:val="left" w:pos="560"/>
        </w:tabs>
        <w:ind w:firstLine="0"/>
        <w:rPr>
          <w:sz w:val="24"/>
          <w:szCs w:val="24"/>
        </w:rPr>
      </w:pPr>
    </w:p>
    <w:p>
      <w:pPr>
        <w:pStyle w:val="Normal.0"/>
        <w:ind w:firstLine="0"/>
        <w:rPr>
          <w:sz w:val="24"/>
          <w:szCs w:val="24"/>
        </w:rPr>
      </w:pPr>
    </w:p>
    <w:p>
      <w:pPr>
        <w:pStyle w:val="Normal.0"/>
        <w:ind w:left="360" w:firstLine="0"/>
        <w:rPr>
          <w:sz w:val="24"/>
          <w:szCs w:val="24"/>
        </w:rPr>
      </w:pPr>
    </w:p>
    <w:p>
      <w:pPr>
        <w:pStyle w:val="Body Text"/>
        <w:jc w:val="both"/>
        <w:rPr>
          <w:rFonts w:ascii="Calibri" w:cs="Calibri" w:hAnsi="Calibri" w:eastAsia="Calibri"/>
          <w:sz w:val="24"/>
          <w:szCs w:val="24"/>
          <w:lang w:val="it-IT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      </w:t>
      </w:r>
    </w:p>
    <w:p>
      <w:pPr>
        <w:pStyle w:val="Normal.0"/>
        <w:tabs>
          <w:tab w:val="left" w:pos="539"/>
        </w:tabs>
        <w:ind w:firstLine="0"/>
        <w:rPr>
          <w:i w:val="1"/>
          <w:iCs w:val="1"/>
          <w:sz w:val="24"/>
          <w:szCs w:val="24"/>
        </w:rPr>
      </w:pPr>
    </w:p>
    <w:p>
      <w:pPr>
        <w:pStyle w:val="Normal.0"/>
        <w:ind w:right="449" w:firstLine="0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993" w:right="1134" w:bottom="1276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1270000" cy="381000"/>
          <wp:effectExtent l="0" t="0" r="0" b="0"/>
          <wp:docPr id="1073741825" name="officeArt object" descr="UILSCUOLARUA_250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ILSCUOLARUA_250px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84" w:hanging="2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54" w:hanging="6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18"/>
        </w:tabs>
        <w:ind w:left="1474" w:hanging="6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18"/>
        </w:tabs>
        <w:ind w:left="2194" w:hanging="6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18"/>
        </w:tabs>
        <w:ind w:left="2914" w:hanging="5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18"/>
        </w:tabs>
        <w:ind w:left="3634" w:hanging="5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18"/>
        </w:tabs>
        <w:ind w:left="4354" w:hanging="5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18"/>
        </w:tabs>
        <w:ind w:left="5074" w:hanging="5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18"/>
        </w:tabs>
        <w:ind w:left="5794" w:hanging="5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71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7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3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42" w:hanging="1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6"/>
        </w:tabs>
        <w:ind w:left="754" w:hanging="6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6"/>
        </w:tabs>
        <w:ind w:left="1474" w:hanging="6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6"/>
        </w:tabs>
        <w:ind w:left="2194" w:hanging="60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6"/>
        </w:tabs>
        <w:ind w:left="2914" w:hanging="5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6"/>
        </w:tabs>
        <w:ind w:left="3634" w:hanging="5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6"/>
        </w:tabs>
        <w:ind w:left="4354" w:hanging="56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6"/>
        </w:tabs>
        <w:ind w:left="5074" w:hanging="5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6"/>
        </w:tabs>
        <w:ind w:left="5794" w:hanging="5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84"/>
        </w:tabs>
        <w:ind w:left="257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547"/>
        </w:tabs>
        <w:ind w:left="2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547"/>
        </w:tabs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47"/>
        </w:tabs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547"/>
        </w:tabs>
        <w:ind w:left="24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547"/>
        </w:tabs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47"/>
        </w:tabs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547"/>
        </w:tabs>
        <w:ind w:left="46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547"/>
        </w:tabs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47"/>
        </w:tabs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57" w:hanging="2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0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57" w:hanging="2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57" w:hanging="2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57" w:hanging="2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0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0" w:after="0" w:line="170" w:lineRule="exact"/>
      <w:ind w:left="123" w:right="0" w:firstLine="341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