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F4442" w14:textId="77777777" w:rsidR="00D32CCF" w:rsidRPr="005F17B9" w:rsidRDefault="00D32CCF" w:rsidP="00075E6B">
      <w:pPr>
        <w:spacing w:after="45" w:line="330" w:lineRule="atLeast"/>
        <w:ind w:left="5664"/>
        <w:outlineLvl w:val="0"/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</w:pPr>
      <w:r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i Segretari Regionali</w:t>
      </w:r>
    </w:p>
    <w:p w14:paraId="6A5A37F8" w14:textId="77777777" w:rsidR="00D32CCF" w:rsidRPr="005F17B9" w:rsidRDefault="00D32CCF" w:rsidP="00075E6B">
      <w:pPr>
        <w:spacing w:after="45" w:line="330" w:lineRule="atLeast"/>
        <w:ind w:left="5664"/>
        <w:outlineLvl w:val="0"/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</w:pPr>
      <w:r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Ai Segretari Territoriali</w:t>
      </w:r>
    </w:p>
    <w:p w14:paraId="22221471" w14:textId="77777777" w:rsidR="00D32CCF" w:rsidRPr="005F17B9" w:rsidRDefault="00D32CCF" w:rsidP="00075E6B">
      <w:pPr>
        <w:spacing w:after="45" w:line="330" w:lineRule="atLeast"/>
        <w:ind w:left="5664"/>
        <w:outlineLvl w:val="0"/>
        <w:rPr>
          <w:rFonts w:ascii="Tahoma" w:eastAsia="Times New Roman" w:hAnsi="Tahoma" w:cs="Tahoma"/>
          <w:b/>
          <w:bCs/>
          <w:color w:val="002060"/>
          <w:kern w:val="36"/>
          <w:lang w:eastAsia="it-IT"/>
        </w:rPr>
      </w:pPr>
    </w:p>
    <w:p w14:paraId="1076FA63" w14:textId="77777777" w:rsidR="00CB4C3B" w:rsidRPr="005F17B9" w:rsidRDefault="00C102D8" w:rsidP="00C102D8">
      <w:pPr>
        <w:spacing w:after="45" w:line="330" w:lineRule="atLeast"/>
        <w:outlineLvl w:val="0"/>
        <w:rPr>
          <w:rFonts w:ascii="Tahoma" w:eastAsia="Times New Roman" w:hAnsi="Tahoma" w:cs="Tahoma"/>
          <w:b/>
          <w:bCs/>
          <w:color w:val="002060"/>
          <w:kern w:val="36"/>
          <w:lang w:eastAsia="it-IT"/>
        </w:rPr>
      </w:pPr>
      <w:r w:rsidRPr="005F17B9">
        <w:rPr>
          <w:rFonts w:ascii="Tahoma" w:eastAsia="Times New Roman" w:hAnsi="Tahoma" w:cs="Tahoma"/>
          <w:b/>
          <w:bCs/>
          <w:color w:val="002060"/>
          <w:kern w:val="36"/>
          <w:lang w:eastAsia="it-IT"/>
        </w:rPr>
        <w:t>Copertura</w:t>
      </w:r>
      <w:r w:rsidR="00CB4C3B" w:rsidRPr="005F17B9">
        <w:rPr>
          <w:rFonts w:ascii="Tahoma" w:eastAsia="Times New Roman" w:hAnsi="Tahoma" w:cs="Tahoma"/>
          <w:b/>
          <w:bCs/>
          <w:color w:val="002060"/>
          <w:kern w:val="36"/>
          <w:lang w:eastAsia="it-IT"/>
        </w:rPr>
        <w:t xml:space="preserve"> straordinaria dei posti DSGA</w:t>
      </w:r>
      <w:r w:rsidRPr="005F17B9">
        <w:rPr>
          <w:rFonts w:ascii="Tahoma" w:eastAsia="Times New Roman" w:hAnsi="Tahoma" w:cs="Tahoma"/>
          <w:b/>
          <w:bCs/>
          <w:color w:val="002060"/>
          <w:kern w:val="36"/>
          <w:lang w:eastAsia="it-IT"/>
        </w:rPr>
        <w:br/>
      </w:r>
      <w:r w:rsidRPr="005F17B9">
        <w:rPr>
          <w:rFonts w:ascii="Tahoma" w:eastAsia="Times New Roman" w:hAnsi="Tahoma" w:cs="Tahoma"/>
          <w:b/>
          <w:bCs/>
          <w:i/>
          <w:iCs/>
          <w:color w:val="002060"/>
          <w:kern w:val="36"/>
          <w:lang w:eastAsia="it-IT"/>
        </w:rPr>
        <w:t>la UIL non firma l’intesa</w:t>
      </w:r>
    </w:p>
    <w:p w14:paraId="3F705872" w14:textId="77777777" w:rsidR="00CB4C3B" w:rsidRPr="005F17B9" w:rsidRDefault="00CB4C3B" w:rsidP="00CB4C3B">
      <w:pPr>
        <w:spacing w:after="45" w:line="330" w:lineRule="atLeast"/>
        <w:jc w:val="both"/>
        <w:outlineLvl w:val="0"/>
        <w:rPr>
          <w:rFonts w:ascii="Tahoma" w:eastAsia="Times New Roman" w:hAnsi="Tahoma" w:cs="Tahoma"/>
          <w:b/>
          <w:bCs/>
          <w:color w:val="002060"/>
          <w:kern w:val="36"/>
          <w:lang w:eastAsia="it-IT"/>
        </w:rPr>
      </w:pPr>
    </w:p>
    <w:p w14:paraId="53FDD4E5" w14:textId="77777777" w:rsidR="00CB4C3B" w:rsidRPr="005F17B9" w:rsidRDefault="00075E6B" w:rsidP="00CB4C3B">
      <w:pPr>
        <w:spacing w:after="45" w:line="330" w:lineRule="atLeast"/>
        <w:jc w:val="both"/>
        <w:outlineLvl w:val="0"/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</w:pPr>
      <w:r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La nostra Organizzazione,</w:t>
      </w:r>
      <w:r w:rsidR="00CB4C3B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pur avendo partecipato al</w:t>
      </w:r>
      <w:r w:rsidR="00810C5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la messa a punto </w:t>
      </w:r>
      <w:r w:rsidR="00CB4C3B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del testo</w:t>
      </w:r>
      <w:r w:rsidR="00810C5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,</w:t>
      </w:r>
      <w:r w:rsidR="00CB4C3B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che non si discosta da quello dell’anno scorso</w:t>
      </w:r>
      <w:r w:rsidR="00810C5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,</w:t>
      </w:r>
      <w:r w:rsidR="00CB4C3B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non ha apposto la sua firma</w:t>
      </w:r>
      <w:r w:rsidR="00DE306D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 avendola  condizionata ad una dichiarazione congiunta finalizzata ad un percorso di valorizzazione del personale  DSGA f.f., condizione respinta dal  </w:t>
      </w:r>
      <w:r w:rsidR="00CB4C3B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del ministero</w:t>
      </w:r>
      <w:r w:rsidR="00DE306D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che</w:t>
      </w:r>
      <w:r w:rsidR="00CB4C3B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non ha voluto condividere un </w:t>
      </w:r>
      <w:r w:rsidR="00DE306D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alcun </w:t>
      </w:r>
      <w:r w:rsidR="00CB4C3B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impegno comune </w:t>
      </w:r>
      <w:r w:rsidR="00DE306D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per </w:t>
      </w:r>
      <w:r w:rsidR="00CB4C3B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individuare una soluzione all’annoso problema dei DSGA/FF che non si esaurirà quest’anno ma proseguirà nei prossimi, </w:t>
      </w:r>
      <w:r w:rsidR="00810C5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rimarcando che proprio</w:t>
      </w:r>
      <w:r w:rsidR="00DE306D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, ancora loro, </w:t>
      </w:r>
      <w:r w:rsidR="00810C58" w:rsidRPr="005F17B9">
        <w:rPr>
          <w:rFonts w:ascii="Tahoma" w:eastAsia="Times New Roman" w:hAnsi="Tahoma" w:cs="Tahoma"/>
          <w:strike/>
          <w:color w:val="002060"/>
          <w:kern w:val="36"/>
          <w:sz w:val="20"/>
          <w:szCs w:val="20"/>
          <w:lang w:eastAsia="it-IT"/>
        </w:rPr>
        <w:t>i FF</w:t>
      </w:r>
      <w:r w:rsidR="00CB4C3B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sono i destinatari di questa intesa.</w:t>
      </w:r>
      <w:r w:rsidR="00D32CCF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</w:t>
      </w:r>
    </w:p>
    <w:p w14:paraId="4BDD39F8" w14:textId="77777777" w:rsidR="00CB4C3B" w:rsidRPr="005F17B9" w:rsidRDefault="00CB4C3B" w:rsidP="00CB4C3B">
      <w:pPr>
        <w:spacing w:after="45" w:line="330" w:lineRule="atLeast"/>
        <w:jc w:val="both"/>
        <w:outlineLvl w:val="0"/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</w:pPr>
      <w:r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La UIL chiede al datore di lavoro ed al decisore politico una soluzione straordinaria e di ampio respiro che riconosca e valorizzi le migliaia di lavoratori che da decenni mandano avanti la scuola italiana e che dovranno farlo ancora nei prossimi</w:t>
      </w:r>
      <w:r w:rsidR="003F695D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. </w:t>
      </w:r>
      <w:proofErr w:type="gramStart"/>
      <w:r w:rsidR="003F695D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E’</w:t>
      </w:r>
      <w:proofErr w:type="gramEnd"/>
      <w:r w:rsidR="003F695D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sotto gli occhi di tutti che </w:t>
      </w:r>
      <w:r w:rsidR="00810C5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il reclutamento ordinario ha fallito su ogni fronte, anche per l’incapacità di programmazione del ministero</w:t>
      </w:r>
      <w:r w:rsidR="00A13B07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e per la carica ideologia di cui è pervaso.</w:t>
      </w:r>
    </w:p>
    <w:p w14:paraId="0105C4B3" w14:textId="77777777" w:rsidR="00810C58" w:rsidRPr="005F17B9" w:rsidRDefault="00810C58" w:rsidP="00CB4C3B">
      <w:pPr>
        <w:spacing w:after="45" w:line="330" w:lineRule="atLeast"/>
        <w:jc w:val="both"/>
        <w:outlineLvl w:val="0"/>
        <w:rPr>
          <w:rFonts w:ascii="Tahoma" w:eastAsia="Times New Roman" w:hAnsi="Tahoma" w:cs="Tahoma"/>
          <w:b/>
          <w:bCs/>
          <w:color w:val="002060"/>
          <w:kern w:val="36"/>
          <w:sz w:val="20"/>
          <w:szCs w:val="20"/>
          <w:lang w:eastAsia="it-IT"/>
        </w:rPr>
      </w:pPr>
      <w:r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Resta fermo che le seconde posizioni economiche – pur avendo la priorità di scelta in caso di proposta – non hanno l’obbligo di accettare</w:t>
      </w:r>
      <w:r w:rsidR="00C102D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l’incarico</w:t>
      </w:r>
      <w:r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in quanto loro </w:t>
      </w:r>
      <w:r w:rsidR="00DE306D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o</w:t>
      </w:r>
      <w:r w:rsidR="00BD02C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bb</w:t>
      </w:r>
      <w:r w:rsidR="00DE306D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ligo è limitato a </w:t>
      </w:r>
      <w:r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sostituire il DSGA temporaneamente assente e non per l’intero anno</w:t>
      </w:r>
      <w:r w:rsidR="00BD02C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per coprire un vuoto di organico</w:t>
      </w:r>
      <w:r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. </w:t>
      </w:r>
      <w:r w:rsidRPr="005F17B9">
        <w:rPr>
          <w:rFonts w:ascii="Tahoma" w:eastAsia="Times New Roman" w:hAnsi="Tahoma" w:cs="Tahoma"/>
          <w:b/>
          <w:bCs/>
          <w:color w:val="002060"/>
          <w:kern w:val="36"/>
          <w:sz w:val="20"/>
          <w:szCs w:val="20"/>
          <w:lang w:eastAsia="it-IT"/>
        </w:rPr>
        <w:t>A questo proposito alleghiamo la nota dal ministero all’USR veneto che tratta della questione.</w:t>
      </w:r>
    </w:p>
    <w:p w14:paraId="5557C631" w14:textId="77777777" w:rsidR="00810C58" w:rsidRPr="005F17B9" w:rsidRDefault="00BD02C8" w:rsidP="00810C58">
      <w:pPr>
        <w:spacing w:after="45" w:line="330" w:lineRule="atLeast"/>
        <w:jc w:val="both"/>
        <w:outlineLvl w:val="0"/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</w:pPr>
      <w:r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Vista </w:t>
      </w:r>
      <w:r w:rsidR="005F17B9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l’</w:t>
      </w:r>
      <w:r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intransigenza del ministero, </w:t>
      </w:r>
      <w:r w:rsidR="00810C5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La UIL Scuola darà</w:t>
      </w:r>
      <w:r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, comunque,</w:t>
      </w:r>
      <w:r w:rsidR="00810C5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copertura sindacale con lo ‘sciopero’ del rigetto di incarico ai DSGA </w:t>
      </w:r>
      <w:proofErr w:type="spellStart"/>
      <w:r w:rsidR="00810C5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ff</w:t>
      </w:r>
      <w:proofErr w:type="spellEnd"/>
      <w:r w:rsidR="00810C5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</w:t>
      </w:r>
      <w:r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a tutti coloro che volessero rifiutare l’incarico, a fronte di un grade sforzo lavorativo a cui non si vuole dare alcun valore;</w:t>
      </w:r>
      <w:r w:rsidR="00810C5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già qualcuno prefigura come un obbligo da fare valere con ordini di servizio.</w:t>
      </w:r>
      <w:r w:rsidR="00C102D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</w:t>
      </w:r>
      <w:r w:rsidR="00810C5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A que</w:t>
      </w:r>
      <w:r w:rsidR="00DE306D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sto proposito il nostro Ufficio </w:t>
      </w:r>
      <w:r w:rsidR="00810C5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Legale Nazionale ha predisposto uno specifico percorso di tutela giudiziaria a favore del personale amministrativo e per contrastare eventuali abusi da parte dei Dirigenti Scolastici. Dif</w:t>
      </w:r>
      <w:r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atti, sotto il profilo normativo</w:t>
      </w:r>
      <w:r w:rsidR="00810C5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contrattuale non esiste alcun obbligo ad assumere le funzioni di DSGA in caso di assenza del titolare. La norma contrattuale, </w:t>
      </w:r>
      <w:r w:rsidR="00C102D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come abbiamo già detto</w:t>
      </w:r>
      <w:r w:rsidR="00810C5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, prevede, un “obbligo” solo in caso di sostituzione del DSGA assente e non di assumere le funzioni in caso di “vacanza” del titolare. </w:t>
      </w:r>
    </w:p>
    <w:p w14:paraId="235B245D" w14:textId="77777777" w:rsidR="00810C58" w:rsidRPr="005F17B9" w:rsidRDefault="00810C58" w:rsidP="005F17B9">
      <w:pPr>
        <w:spacing w:after="45" w:line="330" w:lineRule="atLeast"/>
        <w:outlineLvl w:val="0"/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</w:pPr>
      <w:r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Come nel caso dell’organico COVID e </w:t>
      </w:r>
      <w:r w:rsidR="003F695D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in quello de</w:t>
      </w:r>
      <w:r w:rsidR="00A13B07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i contratti aggiuntivi per il completamento dell’orario degli ex LSU, assistiamo ad interventi tampone finalizzati a mettere toppe piuttosto che a favorire provvedimenti strategici di investimento, precarizzando sempre di più il settore con l’utilizzo di </w:t>
      </w:r>
      <w:r w:rsidR="0021486F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nuove categorie di </w:t>
      </w:r>
      <w:r w:rsidR="00A13B07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personale </w:t>
      </w:r>
      <w:r w:rsidR="00A13B07" w:rsidRPr="005F17B9">
        <w:rPr>
          <w:rFonts w:ascii="Tahoma" w:eastAsia="Times New Roman" w:hAnsi="Tahoma" w:cs="Tahoma"/>
          <w:i/>
          <w:iCs/>
          <w:color w:val="002060"/>
          <w:kern w:val="36"/>
          <w:sz w:val="20"/>
          <w:szCs w:val="20"/>
          <w:lang w:eastAsia="it-IT"/>
        </w:rPr>
        <w:t>usa e getta</w:t>
      </w:r>
      <w:r w:rsidR="00A13B07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.</w:t>
      </w:r>
      <w:r w:rsid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</w:t>
      </w:r>
      <w:r w:rsidR="00BD02C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Una posizione di </w:t>
      </w:r>
      <w:r w:rsidR="00BB4980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chiusura e di </w:t>
      </w:r>
      <w:r w:rsidR="00BD02C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estrema arroganza del ministero che a fronte di un problema di funzionalità e di continuità di servizio</w:t>
      </w:r>
      <w:r w:rsidR="00BB4980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che si riproporrà anche negli anni successivi, me</w:t>
      </w:r>
      <w:r w:rsidR="00BD02C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riterebbe</w:t>
      </w:r>
      <w:r w:rsidR="00BB4980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ben altri</w:t>
      </w:r>
      <w:r w:rsidR="00BD02C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atteggi</w:t>
      </w:r>
      <w:r w:rsidR="00BB4980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a</w:t>
      </w:r>
      <w:r w:rsidR="00BD02C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m</w:t>
      </w:r>
      <w:r w:rsidR="00BB4980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e</w:t>
      </w:r>
      <w:r w:rsidR="00BD02C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nti di disponibilità</w:t>
      </w:r>
      <w:r w:rsidR="00BB4980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e</w:t>
      </w:r>
      <w:r w:rsidR="00BD02C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responsabilità</w:t>
      </w:r>
      <w:r w:rsidR="00BB4980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.</w:t>
      </w:r>
    </w:p>
    <w:p w14:paraId="7A8ECB90" w14:textId="77777777" w:rsidR="00C102D8" w:rsidRDefault="00A13B07" w:rsidP="00A13B07">
      <w:pPr>
        <w:spacing w:after="45" w:line="330" w:lineRule="atLeast"/>
        <w:jc w:val="both"/>
        <w:outlineLvl w:val="0"/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</w:pPr>
      <w:r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La UIL </w:t>
      </w:r>
      <w:r w:rsidR="00BD02C8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continuerà a rivendicare in ogni sede,</w:t>
      </w:r>
      <w:r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un provvedimento legislativo urgente che dia risposte </w:t>
      </w:r>
      <w:r w:rsidR="00BB4980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coerenti ed </w:t>
      </w:r>
      <w:r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immediate alle diverse istanze dei DSGA</w:t>
      </w:r>
      <w:r w:rsidR="00D32CCF"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/FF</w:t>
      </w:r>
      <w:r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 xml:space="preserve"> e degli altri precari, che in questi giorni sono chiamati a far funzionare le scuole.</w:t>
      </w:r>
    </w:p>
    <w:p w14:paraId="532453F7" w14:textId="77777777" w:rsidR="005F17B9" w:rsidRPr="005F17B9" w:rsidRDefault="005F17B9" w:rsidP="00A13B07">
      <w:pPr>
        <w:spacing w:after="45" w:line="330" w:lineRule="atLeast"/>
        <w:jc w:val="both"/>
        <w:outlineLvl w:val="0"/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</w:pPr>
    </w:p>
    <w:p w14:paraId="33B5FFED" w14:textId="77777777" w:rsidR="00FB0B78" w:rsidRPr="005F17B9" w:rsidRDefault="00C102D8" w:rsidP="00075E6B">
      <w:pPr>
        <w:spacing w:after="45" w:line="330" w:lineRule="atLeast"/>
        <w:jc w:val="both"/>
        <w:outlineLvl w:val="0"/>
        <w:rPr>
          <w:color w:val="002060"/>
          <w:sz w:val="16"/>
          <w:szCs w:val="16"/>
        </w:rPr>
      </w:pPr>
      <w:r w:rsidRPr="005F17B9">
        <w:rPr>
          <w:rFonts w:ascii="Tahoma" w:eastAsia="Times New Roman" w:hAnsi="Tahoma" w:cs="Tahoma"/>
          <w:color w:val="002060"/>
          <w:kern w:val="36"/>
          <w:sz w:val="20"/>
          <w:szCs w:val="20"/>
          <w:lang w:eastAsia="it-IT"/>
        </w:rPr>
        <w:t>In allegato il testo dell’intesa</w:t>
      </w:r>
    </w:p>
    <w:sectPr w:rsidR="00FB0B78" w:rsidRPr="005F17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0692C" w14:textId="77777777" w:rsidR="0078476D" w:rsidRDefault="0078476D" w:rsidP="00D32CCF">
      <w:pPr>
        <w:spacing w:after="0" w:line="240" w:lineRule="auto"/>
      </w:pPr>
      <w:r>
        <w:separator/>
      </w:r>
    </w:p>
  </w:endnote>
  <w:endnote w:type="continuationSeparator" w:id="0">
    <w:p w14:paraId="6E104B8D" w14:textId="77777777" w:rsidR="0078476D" w:rsidRDefault="0078476D" w:rsidP="00D3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79628" w14:textId="77777777" w:rsidR="0078476D" w:rsidRDefault="0078476D" w:rsidP="00D32CCF">
      <w:pPr>
        <w:spacing w:after="0" w:line="240" w:lineRule="auto"/>
      </w:pPr>
      <w:r>
        <w:separator/>
      </w:r>
    </w:p>
  </w:footnote>
  <w:footnote w:type="continuationSeparator" w:id="0">
    <w:p w14:paraId="39ACF421" w14:textId="77777777" w:rsidR="0078476D" w:rsidRDefault="0078476D" w:rsidP="00D32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7EEBA" w14:textId="77777777" w:rsidR="00D32CCF" w:rsidRDefault="00D32CCF">
    <w:pPr>
      <w:pStyle w:val="Intestazione"/>
    </w:pPr>
    <w:r>
      <w:rPr>
        <w:noProof/>
        <w:lang w:eastAsia="it-IT"/>
      </w:rPr>
      <w:drawing>
        <wp:inline distT="0" distB="0" distL="0" distR="0" wp14:anchorId="548A74A3">
          <wp:extent cx="1335405" cy="4267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FE4849" w14:textId="77777777" w:rsidR="00D32CCF" w:rsidRPr="005D2D77" w:rsidRDefault="00D32CCF" w:rsidP="00D32CCF">
    <w:pPr>
      <w:pStyle w:val="Intestazione"/>
      <w:rPr>
        <w:b/>
        <w:bCs/>
        <w:color w:val="002060"/>
      </w:rPr>
    </w:pPr>
    <w:r w:rsidRPr="005D2D77">
      <w:rPr>
        <w:b/>
        <w:bCs/>
        <w:color w:val="002060"/>
      </w:rPr>
      <w:t>SEGRETERIA NAZIONALE</w:t>
    </w:r>
  </w:p>
  <w:p w14:paraId="5C27F5E1" w14:textId="77777777" w:rsidR="00D32CCF" w:rsidRDefault="00D32C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C3B"/>
    <w:rsid w:val="00067625"/>
    <w:rsid w:val="00075E6B"/>
    <w:rsid w:val="00207F4A"/>
    <w:rsid w:val="0021486F"/>
    <w:rsid w:val="003F695D"/>
    <w:rsid w:val="005F17B9"/>
    <w:rsid w:val="00637EDF"/>
    <w:rsid w:val="0078476D"/>
    <w:rsid w:val="00810C58"/>
    <w:rsid w:val="00A13B07"/>
    <w:rsid w:val="00BB4980"/>
    <w:rsid w:val="00BD02C8"/>
    <w:rsid w:val="00C102D8"/>
    <w:rsid w:val="00CB4C3B"/>
    <w:rsid w:val="00D32CCF"/>
    <w:rsid w:val="00DE306D"/>
    <w:rsid w:val="00FB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E8B3B"/>
  <w15:docId w15:val="{65C718FE-3E7E-479C-8349-64CC86C0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4C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2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CCF"/>
  </w:style>
  <w:style w:type="paragraph" w:styleId="Pidipagina">
    <w:name w:val="footer"/>
    <w:basedOn w:val="Normale"/>
    <w:link w:val="PidipaginaCarattere"/>
    <w:uiPriority w:val="99"/>
    <w:unhideWhenUsed/>
    <w:rsid w:val="00D32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C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50F13-4FC4-4D01-AE81-AED1FE02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alacchei</dc:creator>
  <cp:lastModifiedBy>alacchei</cp:lastModifiedBy>
  <cp:revision>2</cp:revision>
  <dcterms:created xsi:type="dcterms:W3CDTF">2020-09-21T15:50:00Z</dcterms:created>
  <dcterms:modified xsi:type="dcterms:W3CDTF">2020-09-21T15:50:00Z</dcterms:modified>
</cp:coreProperties>
</file>