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33"/>
        <w:gridCol w:w="2033"/>
        <w:gridCol w:w="2530"/>
        <w:gridCol w:w="2042"/>
        <w:gridCol w:w="1531"/>
      </w:tblGrid>
      <w:tr w:rsidR="002E790F" w14:paraId="08F7EC09" w14:textId="77777777" w:rsidTr="00005171">
        <w:trPr>
          <w:trHeight w:val="1626"/>
        </w:trPr>
        <w:tc>
          <w:tcPr>
            <w:tcW w:w="2033" w:type="dxa"/>
            <w:vAlign w:val="center"/>
          </w:tcPr>
          <w:p w14:paraId="7FA19541" w14:textId="7766D537" w:rsidR="002E790F" w:rsidRDefault="002E790F" w:rsidP="00005171">
            <w:pPr>
              <w:pStyle w:val="Contenutotabella"/>
              <w:snapToGrid w:val="0"/>
            </w:pPr>
            <w:r w:rsidRPr="00E577A2">
              <w:rPr>
                <w:noProof/>
              </w:rPr>
              <w:drawing>
                <wp:inline distT="0" distB="0" distL="0" distR="0" wp14:anchorId="252F29CD" wp14:editId="28E51517">
                  <wp:extent cx="1104900" cy="4191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4900" cy="419100"/>
                          </a:xfrm>
                          <a:prstGeom prst="rect">
                            <a:avLst/>
                          </a:prstGeom>
                          <a:noFill/>
                          <a:ln>
                            <a:noFill/>
                          </a:ln>
                        </pic:spPr>
                      </pic:pic>
                    </a:graphicData>
                  </a:graphic>
                </wp:inline>
              </w:drawing>
            </w:r>
          </w:p>
        </w:tc>
        <w:tc>
          <w:tcPr>
            <w:tcW w:w="2033" w:type="dxa"/>
            <w:vAlign w:val="center"/>
          </w:tcPr>
          <w:p w14:paraId="74E7D8AB" w14:textId="46974EA5" w:rsidR="002E790F" w:rsidRDefault="002E790F" w:rsidP="00005171">
            <w:pPr>
              <w:pStyle w:val="Contenutotabella"/>
              <w:snapToGrid w:val="0"/>
            </w:pPr>
            <w:r w:rsidRPr="00E577A2">
              <w:rPr>
                <w:noProof/>
              </w:rPr>
              <w:drawing>
                <wp:inline distT="0" distB="0" distL="0" distR="0" wp14:anchorId="1D636E06" wp14:editId="0224532B">
                  <wp:extent cx="1133475" cy="5619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3475" cy="561975"/>
                          </a:xfrm>
                          <a:prstGeom prst="rect">
                            <a:avLst/>
                          </a:prstGeom>
                          <a:noFill/>
                          <a:ln>
                            <a:noFill/>
                          </a:ln>
                        </pic:spPr>
                      </pic:pic>
                    </a:graphicData>
                  </a:graphic>
                </wp:inline>
              </w:drawing>
            </w:r>
          </w:p>
        </w:tc>
        <w:tc>
          <w:tcPr>
            <w:tcW w:w="2530" w:type="dxa"/>
            <w:vAlign w:val="center"/>
          </w:tcPr>
          <w:p w14:paraId="7D701446" w14:textId="740DEB58" w:rsidR="002E790F" w:rsidRDefault="002E790F" w:rsidP="00005171">
            <w:pPr>
              <w:pStyle w:val="Contenutotabella"/>
              <w:snapToGrid w:val="0"/>
              <w:jc w:val="center"/>
            </w:pPr>
            <w:r>
              <w:rPr>
                <w:noProof/>
                <w:lang w:eastAsia="it-IT"/>
              </w:rPr>
              <w:drawing>
                <wp:inline distT="0" distB="0" distL="0" distR="0" wp14:anchorId="0A8099C6" wp14:editId="05ED1A12">
                  <wp:extent cx="1221105" cy="39243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1105" cy="392430"/>
                          </a:xfrm>
                          <a:prstGeom prst="rect">
                            <a:avLst/>
                          </a:prstGeom>
                          <a:noFill/>
                          <a:ln>
                            <a:noFill/>
                          </a:ln>
                        </pic:spPr>
                      </pic:pic>
                    </a:graphicData>
                  </a:graphic>
                </wp:inline>
              </w:drawing>
            </w:r>
          </w:p>
        </w:tc>
        <w:tc>
          <w:tcPr>
            <w:tcW w:w="2042" w:type="dxa"/>
            <w:vAlign w:val="center"/>
          </w:tcPr>
          <w:p w14:paraId="4FC6C0E2" w14:textId="4D1209BE" w:rsidR="002E790F" w:rsidRDefault="002E790F" w:rsidP="00005171">
            <w:pPr>
              <w:pStyle w:val="Contenutotabella"/>
              <w:snapToGrid w:val="0"/>
            </w:pPr>
            <w:r w:rsidRPr="00287439">
              <w:rPr>
                <w:noProof/>
              </w:rPr>
              <w:drawing>
                <wp:inline distT="0" distB="0" distL="0" distR="0" wp14:anchorId="02980040" wp14:editId="10A9619A">
                  <wp:extent cx="981075" cy="5524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552450"/>
                          </a:xfrm>
                          <a:prstGeom prst="rect">
                            <a:avLst/>
                          </a:prstGeom>
                          <a:noFill/>
                          <a:ln>
                            <a:noFill/>
                          </a:ln>
                        </pic:spPr>
                      </pic:pic>
                    </a:graphicData>
                  </a:graphic>
                </wp:inline>
              </w:drawing>
            </w:r>
          </w:p>
        </w:tc>
        <w:tc>
          <w:tcPr>
            <w:tcW w:w="1531" w:type="dxa"/>
            <w:vAlign w:val="center"/>
          </w:tcPr>
          <w:p w14:paraId="16E276E5" w14:textId="79C6B2D8" w:rsidR="002E790F" w:rsidRDefault="001F7A05" w:rsidP="00005171">
            <w:pPr>
              <w:pStyle w:val="Contenutotabella"/>
              <w:snapToGrid w:val="0"/>
              <w:jc w:val="center"/>
            </w:pPr>
            <w:r>
              <w:rPr>
                <w:noProof/>
              </w:rPr>
              <w:drawing>
                <wp:inline distT="0" distB="0" distL="0" distR="0" wp14:anchorId="56C80932" wp14:editId="53159F66">
                  <wp:extent cx="561975" cy="533400"/>
                  <wp:effectExtent l="0" t="0" r="9525"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inline>
              </w:drawing>
            </w:r>
          </w:p>
        </w:tc>
      </w:tr>
    </w:tbl>
    <w:p w14:paraId="21A24E34" w14:textId="77777777" w:rsidR="002E790F" w:rsidRDefault="002E790F" w:rsidP="00631F4B">
      <w:pPr>
        <w:spacing w:after="0" w:line="240" w:lineRule="auto"/>
        <w:rPr>
          <w:rFonts w:ascii="Tahoma" w:eastAsia="Times New Roman" w:hAnsi="Tahoma" w:cs="Tahoma"/>
          <w:color w:val="000000"/>
          <w:sz w:val="20"/>
          <w:szCs w:val="20"/>
          <w:lang w:eastAsia="it-IT"/>
        </w:rPr>
      </w:pPr>
    </w:p>
    <w:p w14:paraId="6F115498" w14:textId="77777777" w:rsidR="002E790F" w:rsidRDefault="002E790F" w:rsidP="00631F4B">
      <w:pPr>
        <w:spacing w:after="0" w:line="240" w:lineRule="auto"/>
        <w:rPr>
          <w:rFonts w:ascii="Tahoma" w:eastAsia="Times New Roman" w:hAnsi="Tahoma" w:cs="Tahoma"/>
          <w:color w:val="000000"/>
          <w:sz w:val="20"/>
          <w:szCs w:val="20"/>
          <w:lang w:eastAsia="it-IT"/>
        </w:rPr>
      </w:pPr>
    </w:p>
    <w:p w14:paraId="018E5921" w14:textId="767E2248" w:rsidR="00631F4B" w:rsidRDefault="00631F4B" w:rsidP="00745307">
      <w:pPr>
        <w:spacing w:after="0" w:line="240" w:lineRule="auto"/>
        <w:jc w:val="both"/>
        <w:rPr>
          <w:rFonts w:ascii="Tahoma" w:eastAsia="Times New Roman" w:hAnsi="Tahoma" w:cs="Tahoma"/>
          <w:color w:val="000000"/>
          <w:sz w:val="20"/>
          <w:szCs w:val="20"/>
          <w:lang w:eastAsia="it-IT"/>
        </w:rPr>
      </w:pPr>
      <w:r w:rsidRPr="00631F4B">
        <w:rPr>
          <w:rFonts w:ascii="Tahoma" w:eastAsia="Times New Roman" w:hAnsi="Tahoma" w:cs="Tahoma"/>
          <w:color w:val="000000"/>
          <w:sz w:val="20"/>
          <w:szCs w:val="20"/>
          <w:lang w:eastAsia="it-IT"/>
        </w:rPr>
        <w:t>Signor Prefetto,</w:t>
      </w:r>
    </w:p>
    <w:p w14:paraId="5FF60F87" w14:textId="77777777" w:rsidR="001D6FFE" w:rsidRPr="00631F4B" w:rsidRDefault="001D6FFE" w:rsidP="00745307">
      <w:pPr>
        <w:spacing w:after="0" w:line="240" w:lineRule="auto"/>
        <w:jc w:val="both"/>
        <w:rPr>
          <w:rFonts w:ascii="Tahoma" w:eastAsia="Times New Roman" w:hAnsi="Tahoma" w:cs="Tahoma"/>
          <w:color w:val="000000"/>
          <w:sz w:val="20"/>
          <w:szCs w:val="20"/>
          <w:lang w:eastAsia="it-IT"/>
        </w:rPr>
      </w:pPr>
    </w:p>
    <w:p w14:paraId="10EE9950" w14:textId="77777777" w:rsidR="001D6FFE" w:rsidRDefault="00631F4B" w:rsidP="00745307">
      <w:pPr>
        <w:spacing w:after="0" w:line="240" w:lineRule="auto"/>
        <w:jc w:val="both"/>
        <w:rPr>
          <w:rFonts w:ascii="Tahoma" w:eastAsia="Times New Roman" w:hAnsi="Tahoma" w:cs="Tahoma"/>
          <w:color w:val="000000"/>
          <w:sz w:val="20"/>
          <w:szCs w:val="20"/>
          <w:lang w:eastAsia="it-IT"/>
        </w:rPr>
      </w:pPr>
      <w:r w:rsidRPr="00631F4B">
        <w:rPr>
          <w:rFonts w:ascii="Tahoma" w:eastAsia="Times New Roman" w:hAnsi="Tahoma" w:cs="Tahoma"/>
          <w:color w:val="000000"/>
          <w:sz w:val="20"/>
          <w:szCs w:val="20"/>
          <w:lang w:eastAsia="it-IT"/>
        </w:rPr>
        <w:t>i rappresentanti dei sindacati scuola di FL</w:t>
      </w:r>
      <w:r w:rsidR="001D6FFE">
        <w:rPr>
          <w:rFonts w:ascii="Tahoma" w:eastAsia="Times New Roman" w:hAnsi="Tahoma" w:cs="Tahoma"/>
          <w:color w:val="000000"/>
          <w:sz w:val="20"/>
          <w:szCs w:val="20"/>
          <w:lang w:eastAsia="it-IT"/>
        </w:rPr>
        <w:t>C-</w:t>
      </w:r>
      <w:r w:rsidRPr="00631F4B">
        <w:rPr>
          <w:rFonts w:ascii="Tahoma" w:eastAsia="Times New Roman" w:hAnsi="Tahoma" w:cs="Tahoma"/>
          <w:color w:val="000000"/>
          <w:sz w:val="20"/>
          <w:szCs w:val="20"/>
          <w:lang w:eastAsia="it-IT"/>
        </w:rPr>
        <w:t>Cgil</w:t>
      </w:r>
      <w:r>
        <w:rPr>
          <w:rFonts w:ascii="Tahoma" w:eastAsia="Times New Roman" w:hAnsi="Tahoma" w:cs="Tahoma"/>
          <w:color w:val="000000"/>
          <w:sz w:val="20"/>
          <w:szCs w:val="20"/>
          <w:lang w:eastAsia="it-IT"/>
        </w:rPr>
        <w:t>,</w:t>
      </w:r>
      <w:r w:rsidRPr="00631F4B">
        <w:rPr>
          <w:rFonts w:ascii="Tahoma" w:eastAsia="Times New Roman" w:hAnsi="Tahoma" w:cs="Tahoma"/>
          <w:color w:val="000000"/>
          <w:sz w:val="20"/>
          <w:szCs w:val="20"/>
          <w:lang w:eastAsia="it-IT"/>
        </w:rPr>
        <w:t xml:space="preserve"> C</w:t>
      </w:r>
      <w:r w:rsidR="001D6FFE">
        <w:rPr>
          <w:rFonts w:ascii="Tahoma" w:eastAsia="Times New Roman" w:hAnsi="Tahoma" w:cs="Tahoma"/>
          <w:color w:val="000000"/>
          <w:sz w:val="20"/>
          <w:szCs w:val="20"/>
          <w:lang w:eastAsia="it-IT"/>
        </w:rPr>
        <w:t xml:space="preserve">ISLSCUOLA, Federazione UIL SCUOLA RUA, </w:t>
      </w:r>
    </w:p>
    <w:p w14:paraId="4CFDFAD7" w14:textId="2F2BCE4A" w:rsidR="00631F4B" w:rsidRPr="00631F4B" w:rsidRDefault="00631F4B" w:rsidP="00745307">
      <w:pPr>
        <w:spacing w:after="0" w:line="240" w:lineRule="auto"/>
        <w:jc w:val="both"/>
        <w:rPr>
          <w:rFonts w:ascii="Tahoma" w:eastAsia="Times New Roman" w:hAnsi="Tahoma" w:cs="Tahoma"/>
          <w:color w:val="000000"/>
          <w:sz w:val="20"/>
          <w:szCs w:val="20"/>
          <w:lang w:eastAsia="it-IT"/>
        </w:rPr>
      </w:pPr>
      <w:r w:rsidRPr="00631F4B">
        <w:rPr>
          <w:rFonts w:ascii="Tahoma" w:eastAsia="Times New Roman" w:hAnsi="Tahoma" w:cs="Tahoma"/>
          <w:color w:val="000000"/>
          <w:sz w:val="20"/>
          <w:szCs w:val="20"/>
          <w:lang w:eastAsia="it-IT"/>
        </w:rPr>
        <w:t>SNALS</w:t>
      </w:r>
      <w:r w:rsidR="001D6FFE">
        <w:rPr>
          <w:rFonts w:ascii="Tahoma" w:eastAsia="Times New Roman" w:hAnsi="Tahoma" w:cs="Tahoma"/>
          <w:color w:val="000000"/>
          <w:sz w:val="20"/>
          <w:szCs w:val="20"/>
          <w:lang w:eastAsia="it-IT"/>
        </w:rPr>
        <w:t>-</w:t>
      </w:r>
      <w:r w:rsidRPr="00631F4B">
        <w:rPr>
          <w:rFonts w:ascii="Tahoma" w:eastAsia="Times New Roman" w:hAnsi="Tahoma" w:cs="Tahoma"/>
          <w:color w:val="000000"/>
          <w:sz w:val="20"/>
          <w:szCs w:val="20"/>
          <w:lang w:eastAsia="it-IT"/>
        </w:rPr>
        <w:t>Conf</w:t>
      </w:r>
      <w:r w:rsidR="001D6FFE">
        <w:rPr>
          <w:rFonts w:ascii="Tahoma" w:eastAsia="Times New Roman" w:hAnsi="Tahoma" w:cs="Tahoma"/>
          <w:color w:val="000000"/>
          <w:sz w:val="20"/>
          <w:szCs w:val="20"/>
          <w:lang w:eastAsia="it-IT"/>
        </w:rPr>
        <w:t>s</w:t>
      </w:r>
      <w:r w:rsidRPr="00631F4B">
        <w:rPr>
          <w:rFonts w:ascii="Tahoma" w:eastAsia="Times New Roman" w:hAnsi="Tahoma" w:cs="Tahoma"/>
          <w:color w:val="000000"/>
          <w:sz w:val="20"/>
          <w:szCs w:val="20"/>
          <w:lang w:eastAsia="it-IT"/>
        </w:rPr>
        <w:t xml:space="preserve">al e </w:t>
      </w:r>
      <w:r w:rsidR="001D6FFE">
        <w:rPr>
          <w:rFonts w:ascii="Tahoma" w:eastAsia="Times New Roman" w:hAnsi="Tahoma" w:cs="Tahoma"/>
          <w:color w:val="000000"/>
          <w:sz w:val="20"/>
          <w:szCs w:val="20"/>
          <w:lang w:eastAsia="it-IT"/>
        </w:rPr>
        <w:t xml:space="preserve">Federazione </w:t>
      </w:r>
      <w:r w:rsidRPr="00631F4B">
        <w:rPr>
          <w:rFonts w:ascii="Tahoma" w:eastAsia="Times New Roman" w:hAnsi="Tahoma" w:cs="Tahoma"/>
          <w:color w:val="000000"/>
          <w:sz w:val="20"/>
          <w:szCs w:val="20"/>
          <w:lang w:eastAsia="it-IT"/>
        </w:rPr>
        <w:t xml:space="preserve">Gilda Unams hanno inteso rivolgersi a Lei per portare alla </w:t>
      </w:r>
      <w:r w:rsidR="001D6FFE">
        <w:rPr>
          <w:rFonts w:ascii="Tahoma" w:eastAsia="Times New Roman" w:hAnsi="Tahoma" w:cs="Tahoma"/>
          <w:color w:val="000000"/>
          <w:sz w:val="20"/>
          <w:szCs w:val="20"/>
          <w:lang w:eastAsia="it-IT"/>
        </w:rPr>
        <w:t>S</w:t>
      </w:r>
      <w:r w:rsidRPr="00631F4B">
        <w:rPr>
          <w:rFonts w:ascii="Tahoma" w:eastAsia="Times New Roman" w:hAnsi="Tahoma" w:cs="Tahoma"/>
          <w:color w:val="000000"/>
          <w:sz w:val="20"/>
          <w:szCs w:val="20"/>
          <w:lang w:eastAsia="it-IT"/>
        </w:rPr>
        <w:t>ua attenzione lo stato di disagio che l'intera comunità scolastica vive in una fase di estrema difficoltà caratterizzata dalle preoccupazioni derivanti dai rischi di contr</w:t>
      </w:r>
      <w:r w:rsidR="002E790F">
        <w:rPr>
          <w:rFonts w:ascii="Tahoma" w:eastAsia="Times New Roman" w:hAnsi="Tahoma" w:cs="Tahoma"/>
          <w:color w:val="000000"/>
          <w:sz w:val="20"/>
          <w:szCs w:val="20"/>
          <w:lang w:eastAsia="it-IT"/>
        </w:rPr>
        <w:t>arre</w:t>
      </w:r>
      <w:r w:rsidRPr="00631F4B">
        <w:rPr>
          <w:rFonts w:ascii="Tahoma" w:eastAsia="Times New Roman" w:hAnsi="Tahoma" w:cs="Tahoma"/>
          <w:color w:val="000000"/>
          <w:sz w:val="20"/>
          <w:szCs w:val="20"/>
          <w:lang w:eastAsia="it-IT"/>
        </w:rPr>
        <w:t xml:space="preserve"> </w:t>
      </w:r>
      <w:r w:rsidR="002E790F">
        <w:rPr>
          <w:rFonts w:ascii="Tahoma" w:eastAsia="Times New Roman" w:hAnsi="Tahoma" w:cs="Tahoma"/>
          <w:color w:val="000000"/>
          <w:sz w:val="20"/>
          <w:szCs w:val="20"/>
          <w:lang w:eastAsia="it-IT"/>
        </w:rPr>
        <w:t>i</w:t>
      </w:r>
      <w:r w:rsidRPr="00631F4B">
        <w:rPr>
          <w:rFonts w:ascii="Tahoma" w:eastAsia="Times New Roman" w:hAnsi="Tahoma" w:cs="Tahoma"/>
          <w:color w:val="000000"/>
          <w:sz w:val="20"/>
          <w:szCs w:val="20"/>
          <w:lang w:eastAsia="it-IT"/>
        </w:rPr>
        <w:t xml:space="preserve">l contagio da </w:t>
      </w:r>
      <w:r w:rsidR="001D6FFE">
        <w:rPr>
          <w:rFonts w:ascii="Tahoma" w:eastAsia="Times New Roman" w:hAnsi="Tahoma" w:cs="Tahoma"/>
          <w:color w:val="000000"/>
          <w:sz w:val="20"/>
          <w:szCs w:val="20"/>
          <w:lang w:eastAsia="it-IT"/>
        </w:rPr>
        <w:t>C</w:t>
      </w:r>
      <w:r w:rsidRPr="00631F4B">
        <w:rPr>
          <w:rFonts w:ascii="Tahoma" w:eastAsia="Times New Roman" w:hAnsi="Tahoma" w:cs="Tahoma"/>
          <w:color w:val="000000"/>
          <w:sz w:val="20"/>
          <w:szCs w:val="20"/>
          <w:lang w:eastAsia="it-IT"/>
        </w:rPr>
        <w:t>ovid 19.</w:t>
      </w:r>
    </w:p>
    <w:p w14:paraId="468CD842"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24512C3A"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591A7526" w14:textId="54FD0056" w:rsidR="00631F4B" w:rsidRPr="00631F4B" w:rsidRDefault="00631F4B" w:rsidP="00745307">
      <w:pPr>
        <w:spacing w:after="0" w:line="240" w:lineRule="auto"/>
        <w:jc w:val="both"/>
        <w:rPr>
          <w:rFonts w:ascii="Tahoma" w:eastAsia="Times New Roman" w:hAnsi="Tahoma" w:cs="Tahoma"/>
          <w:color w:val="000000"/>
          <w:sz w:val="20"/>
          <w:szCs w:val="20"/>
          <w:lang w:eastAsia="it-IT"/>
        </w:rPr>
      </w:pPr>
      <w:r w:rsidRPr="00631F4B">
        <w:rPr>
          <w:rFonts w:ascii="Tahoma" w:eastAsia="Times New Roman" w:hAnsi="Tahoma" w:cs="Tahoma"/>
          <w:color w:val="000000"/>
          <w:sz w:val="20"/>
          <w:szCs w:val="20"/>
          <w:lang w:eastAsia="it-IT"/>
        </w:rPr>
        <w:t xml:space="preserve">La scuola costituisce il luogo istituzionalmente dedicato all'istruzione e alla formazione dei giovani, che insieme imparano a praticare comportamenti positivi e responsabili verso </w:t>
      </w:r>
      <w:r w:rsidR="002E790F" w:rsidRPr="00631F4B">
        <w:rPr>
          <w:rFonts w:ascii="Tahoma" w:eastAsia="Times New Roman" w:hAnsi="Tahoma" w:cs="Tahoma"/>
          <w:color w:val="000000"/>
          <w:sz w:val="20"/>
          <w:szCs w:val="20"/>
          <w:lang w:eastAsia="it-IT"/>
        </w:rPr>
        <w:t>s</w:t>
      </w:r>
      <w:r w:rsidR="002E790F">
        <w:rPr>
          <w:rFonts w:ascii="Tahoma" w:eastAsia="Times New Roman" w:hAnsi="Tahoma" w:cs="Tahoma"/>
          <w:color w:val="000000"/>
          <w:sz w:val="20"/>
          <w:szCs w:val="20"/>
          <w:lang w:eastAsia="it-IT"/>
        </w:rPr>
        <w:t>é</w:t>
      </w:r>
      <w:r w:rsidRPr="00631F4B">
        <w:rPr>
          <w:rFonts w:ascii="Tahoma" w:eastAsia="Times New Roman" w:hAnsi="Tahoma" w:cs="Tahoma"/>
          <w:color w:val="000000"/>
          <w:sz w:val="20"/>
          <w:szCs w:val="20"/>
          <w:lang w:eastAsia="it-IT"/>
        </w:rPr>
        <w:t xml:space="preserve"> stessi e gli altri e per questo sede di socializzazione e crescita ogni giorno per otto milioni di studenti.</w:t>
      </w:r>
    </w:p>
    <w:p w14:paraId="670D28F7"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7EE976B9"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5D7CA618"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r w:rsidRPr="00631F4B">
        <w:rPr>
          <w:rFonts w:ascii="Tahoma" w:eastAsia="Times New Roman" w:hAnsi="Tahoma" w:cs="Tahoma"/>
          <w:color w:val="000000"/>
          <w:sz w:val="20"/>
          <w:szCs w:val="20"/>
          <w:lang w:eastAsia="it-IT"/>
        </w:rPr>
        <w:t>Nella situazione straordinaria che siamo portati a vivere la scuola diventa motivo di preoccupazione per le loro famiglie e quelle di oltre un milione di lavoratori direttamente operanti, a cui si aggiungono i lavoratori di un indotto formato da addetti ai trasporti ed alle mense.</w:t>
      </w:r>
    </w:p>
    <w:p w14:paraId="11FCCF8C"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2AB2E5C2"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2C250A49"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r w:rsidRPr="00631F4B">
        <w:rPr>
          <w:rFonts w:ascii="Tahoma" w:eastAsia="Times New Roman" w:hAnsi="Tahoma" w:cs="Tahoma"/>
          <w:color w:val="000000"/>
          <w:sz w:val="20"/>
          <w:szCs w:val="20"/>
          <w:lang w:eastAsia="it-IT"/>
        </w:rPr>
        <w:t>Con grande difficoltà docenti dirigenti, collaboratori scolastici moltiplicano gli sforzi di contenimento del contagio ma a partire dal 22 ottobre e fino al 16 novembre una nuova sfida renderà più complicati i loro sforzi.</w:t>
      </w:r>
    </w:p>
    <w:p w14:paraId="24085EF3"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702F4E3E"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61D982AE" w14:textId="44320AAE" w:rsidR="00631F4B" w:rsidRPr="00631F4B" w:rsidRDefault="00631F4B" w:rsidP="00745307">
      <w:pPr>
        <w:spacing w:after="0" w:line="240" w:lineRule="auto"/>
        <w:jc w:val="both"/>
        <w:rPr>
          <w:rFonts w:ascii="Tahoma" w:eastAsia="Times New Roman" w:hAnsi="Tahoma" w:cs="Tahoma"/>
          <w:color w:val="000000"/>
          <w:sz w:val="20"/>
          <w:szCs w:val="20"/>
          <w:lang w:eastAsia="it-IT"/>
        </w:rPr>
      </w:pPr>
      <w:r w:rsidRPr="00631F4B">
        <w:rPr>
          <w:rFonts w:ascii="Tahoma" w:eastAsia="Times New Roman" w:hAnsi="Tahoma" w:cs="Tahoma"/>
          <w:color w:val="000000"/>
          <w:sz w:val="20"/>
          <w:szCs w:val="20"/>
          <w:lang w:eastAsia="it-IT"/>
        </w:rPr>
        <w:t>A causa dello svolgimento di una prova concorsuale per titoli ed esami riservata a 64</w:t>
      </w:r>
      <w:r w:rsidR="001D6FFE">
        <w:rPr>
          <w:rFonts w:ascii="Tahoma" w:eastAsia="Times New Roman" w:hAnsi="Tahoma" w:cs="Tahoma"/>
          <w:color w:val="000000"/>
          <w:sz w:val="20"/>
          <w:szCs w:val="20"/>
          <w:lang w:eastAsia="it-IT"/>
        </w:rPr>
        <w:t>.</w:t>
      </w:r>
      <w:r w:rsidRPr="00631F4B">
        <w:rPr>
          <w:rFonts w:ascii="Tahoma" w:eastAsia="Times New Roman" w:hAnsi="Tahoma" w:cs="Tahoma"/>
          <w:color w:val="000000"/>
          <w:sz w:val="20"/>
          <w:szCs w:val="20"/>
          <w:lang w:eastAsia="it-IT"/>
        </w:rPr>
        <w:t>000 docenti già titolari, da almeno tre anni, di contratti a tempo determinato, si riverseranno in orario non di lavoro nelle scuole per concorrere per uno dei 34000 posti di ruolo ad essi promesso dal Bando del 28 aprile 2020.</w:t>
      </w:r>
    </w:p>
    <w:p w14:paraId="70772540"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25DCF280"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284FE1DB" w14:textId="580430D3" w:rsidR="00631F4B" w:rsidRPr="00631F4B" w:rsidRDefault="00631F4B" w:rsidP="00745307">
      <w:pPr>
        <w:spacing w:after="0" w:line="240" w:lineRule="auto"/>
        <w:jc w:val="both"/>
        <w:rPr>
          <w:rFonts w:ascii="Tahoma" w:eastAsia="Times New Roman" w:hAnsi="Tahoma" w:cs="Tahoma"/>
          <w:color w:val="000000"/>
          <w:sz w:val="20"/>
          <w:szCs w:val="20"/>
          <w:lang w:eastAsia="it-IT"/>
        </w:rPr>
      </w:pPr>
      <w:r w:rsidRPr="00631F4B">
        <w:rPr>
          <w:rFonts w:ascii="Tahoma" w:eastAsia="Times New Roman" w:hAnsi="Tahoma" w:cs="Tahoma"/>
          <w:color w:val="000000"/>
          <w:sz w:val="20"/>
          <w:szCs w:val="20"/>
          <w:lang w:eastAsia="it-IT"/>
        </w:rPr>
        <w:t>Molti si sposteranno da una città all' altra, da una regione ad altra, nella speranza di maggiori "chance</w:t>
      </w:r>
      <w:r>
        <w:rPr>
          <w:rFonts w:ascii="Tahoma" w:eastAsia="Times New Roman" w:hAnsi="Tahoma" w:cs="Tahoma"/>
          <w:color w:val="000000"/>
          <w:sz w:val="20"/>
          <w:szCs w:val="20"/>
          <w:lang w:eastAsia="it-IT"/>
        </w:rPr>
        <w:t>s</w:t>
      </w:r>
      <w:r w:rsidRPr="00631F4B">
        <w:rPr>
          <w:rFonts w:ascii="Tahoma" w:eastAsia="Times New Roman" w:hAnsi="Tahoma" w:cs="Tahoma"/>
          <w:color w:val="000000"/>
          <w:sz w:val="20"/>
          <w:szCs w:val="20"/>
          <w:lang w:eastAsia="it-IT"/>
        </w:rPr>
        <w:t>", coinvolgendo nelle procedure migliaia di componenti delle commissioni, gli addetti alla vigilanza individuati tra il personale scolastico ed infine gli addetti alla sanificazione dei locali e delle attrezzature tecnologiche necessarie, implementando così le possibilità di entrare in contatto con altri possibili contagiati.</w:t>
      </w:r>
    </w:p>
    <w:p w14:paraId="1B9861BB"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3FEA0E3D" w14:textId="17A15C05" w:rsidR="00631F4B" w:rsidRPr="00631F4B" w:rsidRDefault="00631F4B" w:rsidP="00745307">
      <w:pPr>
        <w:spacing w:after="0" w:line="240" w:lineRule="auto"/>
        <w:jc w:val="both"/>
        <w:rPr>
          <w:rFonts w:ascii="Tahoma" w:eastAsia="Times New Roman" w:hAnsi="Tahoma" w:cs="Tahoma"/>
          <w:color w:val="000000"/>
          <w:sz w:val="20"/>
          <w:szCs w:val="20"/>
          <w:lang w:eastAsia="it-IT"/>
        </w:rPr>
      </w:pPr>
      <w:r w:rsidRPr="00631F4B">
        <w:rPr>
          <w:rFonts w:ascii="Tahoma" w:eastAsia="Times New Roman" w:hAnsi="Tahoma" w:cs="Tahoma"/>
          <w:color w:val="000000"/>
          <w:sz w:val="20"/>
          <w:szCs w:val="20"/>
          <w:lang w:eastAsia="it-IT"/>
        </w:rPr>
        <w:t>Le organizzazioni sindacali sono a segnalare la necessità di bloccare lo svolgimento delle prove sia per le conseguenze che l'esposizione al contagio potrebbe avere anche nelle classi di titolarità al momento del rientro nelle scuole dei candidati, sia per la mancata previsione di prove suppletive che impediscono ai candidati, alcuni già segnalati , in situazione di quarantena, in malattia con sorveglianza sanitaria o, infine, in isolamento fiduciario, di partecipare all' unica sessione concorsuale prevista, perdendo così l' occasione di una stabilizzazione attesa da anni, dedicati con abnegazione ed impegno alla scuola.</w:t>
      </w:r>
    </w:p>
    <w:p w14:paraId="113102B2"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2041138C"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7B97B421" w14:textId="60FD8FBD" w:rsidR="00631F4B" w:rsidRPr="00631F4B" w:rsidRDefault="00631F4B" w:rsidP="00745307">
      <w:pPr>
        <w:spacing w:after="0" w:line="240" w:lineRule="auto"/>
        <w:jc w:val="both"/>
        <w:rPr>
          <w:rFonts w:ascii="Tahoma" w:eastAsia="Times New Roman" w:hAnsi="Tahoma" w:cs="Tahoma"/>
          <w:color w:val="000000"/>
          <w:sz w:val="20"/>
          <w:szCs w:val="20"/>
          <w:lang w:eastAsia="it-IT"/>
        </w:rPr>
      </w:pPr>
      <w:r w:rsidRPr="00631F4B">
        <w:rPr>
          <w:rFonts w:ascii="Tahoma" w:eastAsia="Times New Roman" w:hAnsi="Tahoma" w:cs="Tahoma"/>
          <w:color w:val="000000"/>
          <w:sz w:val="20"/>
          <w:szCs w:val="20"/>
          <w:lang w:eastAsia="it-IT"/>
        </w:rPr>
        <w:t xml:space="preserve">A seguito delle previsioni legislative straordinarie assunte con i DPCM della primavera 2020 altre procedure concorsuali della pubblica amministrazione sono state bloccate, mentre su altri profili professionali si </w:t>
      </w:r>
      <w:r>
        <w:rPr>
          <w:rFonts w:ascii="Tahoma" w:eastAsia="Times New Roman" w:hAnsi="Tahoma" w:cs="Tahoma"/>
          <w:color w:val="000000"/>
          <w:sz w:val="20"/>
          <w:szCs w:val="20"/>
          <w:lang w:eastAsia="it-IT"/>
        </w:rPr>
        <w:t>è</w:t>
      </w:r>
      <w:r w:rsidRPr="00631F4B">
        <w:rPr>
          <w:rFonts w:ascii="Tahoma" w:eastAsia="Times New Roman" w:hAnsi="Tahoma" w:cs="Tahoma"/>
          <w:color w:val="000000"/>
          <w:sz w:val="20"/>
          <w:szCs w:val="20"/>
          <w:lang w:eastAsia="it-IT"/>
        </w:rPr>
        <w:t>, invece, deciso di procedere all</w:t>
      </w:r>
      <w:r>
        <w:rPr>
          <w:rFonts w:ascii="Tahoma" w:eastAsia="Times New Roman" w:hAnsi="Tahoma" w:cs="Tahoma"/>
          <w:color w:val="000000"/>
          <w:sz w:val="20"/>
          <w:szCs w:val="20"/>
          <w:lang w:eastAsia="it-IT"/>
        </w:rPr>
        <w:t>e</w:t>
      </w:r>
      <w:r w:rsidRPr="00631F4B">
        <w:rPr>
          <w:rFonts w:ascii="Tahoma" w:eastAsia="Times New Roman" w:hAnsi="Tahoma" w:cs="Tahoma"/>
          <w:color w:val="000000"/>
          <w:sz w:val="20"/>
          <w:szCs w:val="20"/>
          <w:lang w:eastAsia="it-IT"/>
        </w:rPr>
        <w:t xml:space="preserve"> assunzioni dirette, laddove l'emergenza lo facesse ritenere opportuno, anche in considerazione della esperienza maturata dagli interessati in particolari situazioni.</w:t>
      </w:r>
    </w:p>
    <w:p w14:paraId="05E640C4"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6D4F4C88"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1637F97E"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r w:rsidRPr="00631F4B">
        <w:rPr>
          <w:rFonts w:ascii="Tahoma" w:eastAsia="Times New Roman" w:hAnsi="Tahoma" w:cs="Tahoma"/>
          <w:color w:val="000000"/>
          <w:sz w:val="20"/>
          <w:szCs w:val="20"/>
          <w:lang w:eastAsia="it-IT"/>
        </w:rPr>
        <w:t>Nella scuola esiste un precariato storico che necessita di un approccio specifico che riconosca il valore dell'esperienza pluriennale maturata, come previsto da provvedimenti legislativi entrati in vigore e poi traditi da legislature meno propense a riconoscere tale valore.</w:t>
      </w:r>
    </w:p>
    <w:p w14:paraId="59C5BB6B" w14:textId="77777777" w:rsidR="001475EB" w:rsidRDefault="001475EB" w:rsidP="00745307">
      <w:pPr>
        <w:spacing w:after="0" w:line="240" w:lineRule="auto"/>
        <w:jc w:val="both"/>
        <w:rPr>
          <w:rFonts w:ascii="Tahoma" w:eastAsia="Times New Roman" w:hAnsi="Tahoma" w:cs="Tahoma"/>
          <w:color w:val="000000"/>
          <w:sz w:val="20"/>
          <w:szCs w:val="20"/>
          <w:lang w:eastAsia="it-IT"/>
        </w:rPr>
      </w:pPr>
    </w:p>
    <w:p w14:paraId="3D556433" w14:textId="1D62917A" w:rsidR="001475EB" w:rsidRDefault="001475EB" w:rsidP="00745307">
      <w:pPr>
        <w:spacing w:after="0" w:line="240" w:lineRule="auto"/>
        <w:jc w:val="both"/>
        <w:rPr>
          <w:rFonts w:ascii="Tahoma" w:eastAsia="Times New Roman" w:hAnsi="Tahoma" w:cs="Tahoma"/>
          <w:color w:val="000000"/>
          <w:sz w:val="20"/>
          <w:szCs w:val="20"/>
          <w:lang w:eastAsia="it-IT"/>
        </w:rPr>
      </w:pPr>
      <w:r>
        <w:rPr>
          <w:rFonts w:ascii="Tahoma" w:eastAsia="Times New Roman" w:hAnsi="Tahoma" w:cs="Tahoma"/>
          <w:noProof/>
          <w:color w:val="000000"/>
          <w:sz w:val="20"/>
          <w:szCs w:val="20"/>
          <w:lang w:eastAsia="it-IT"/>
        </w:rPr>
        <w:drawing>
          <wp:inline distT="0" distB="0" distL="0" distR="0" wp14:anchorId="2C2C1A74" wp14:editId="1817131D">
            <wp:extent cx="1103630" cy="420370"/>
            <wp:effectExtent l="0" t="0" r="127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3630" cy="420370"/>
                    </a:xfrm>
                    <a:prstGeom prst="rect">
                      <a:avLst/>
                    </a:prstGeom>
                    <a:noFill/>
                  </pic:spPr>
                </pic:pic>
              </a:graphicData>
            </a:graphic>
          </wp:inline>
        </w:drawing>
      </w:r>
      <w:r w:rsidR="009E33E2">
        <w:rPr>
          <w:rFonts w:ascii="Tahoma" w:eastAsia="Times New Roman" w:hAnsi="Tahoma" w:cs="Tahoma"/>
          <w:color w:val="000000"/>
          <w:sz w:val="20"/>
          <w:szCs w:val="20"/>
          <w:lang w:eastAsia="it-IT"/>
        </w:rPr>
        <w:t xml:space="preserve">    </w:t>
      </w:r>
      <w:r w:rsidRPr="00E577A2">
        <w:rPr>
          <w:noProof/>
        </w:rPr>
        <w:drawing>
          <wp:inline distT="0" distB="0" distL="0" distR="0" wp14:anchorId="0CEDEF8B" wp14:editId="1F0B6DA2">
            <wp:extent cx="1133475" cy="561975"/>
            <wp:effectExtent l="0" t="0" r="952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3475" cy="561975"/>
                    </a:xfrm>
                    <a:prstGeom prst="rect">
                      <a:avLst/>
                    </a:prstGeom>
                    <a:noFill/>
                    <a:ln>
                      <a:noFill/>
                    </a:ln>
                  </pic:spPr>
                </pic:pic>
              </a:graphicData>
            </a:graphic>
          </wp:inline>
        </w:drawing>
      </w:r>
      <w:r w:rsidR="009E33E2">
        <w:rPr>
          <w:rFonts w:ascii="Tahoma" w:eastAsia="Times New Roman" w:hAnsi="Tahoma" w:cs="Tahoma"/>
          <w:color w:val="000000"/>
          <w:sz w:val="20"/>
          <w:szCs w:val="20"/>
          <w:lang w:eastAsia="it-IT"/>
        </w:rPr>
        <w:t xml:space="preserve">      </w:t>
      </w:r>
      <w:r>
        <w:rPr>
          <w:noProof/>
          <w:lang w:eastAsia="it-IT"/>
        </w:rPr>
        <w:drawing>
          <wp:inline distT="0" distB="0" distL="0" distR="0" wp14:anchorId="1DF416EC" wp14:editId="38201C66">
            <wp:extent cx="1221105" cy="392430"/>
            <wp:effectExtent l="0" t="0" r="0"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1105" cy="392430"/>
                    </a:xfrm>
                    <a:prstGeom prst="rect">
                      <a:avLst/>
                    </a:prstGeom>
                    <a:noFill/>
                    <a:ln>
                      <a:noFill/>
                    </a:ln>
                  </pic:spPr>
                </pic:pic>
              </a:graphicData>
            </a:graphic>
          </wp:inline>
        </w:drawing>
      </w:r>
      <w:r w:rsidR="009E33E2">
        <w:rPr>
          <w:rFonts w:ascii="Tahoma" w:eastAsia="Times New Roman" w:hAnsi="Tahoma" w:cs="Tahoma"/>
          <w:color w:val="000000"/>
          <w:sz w:val="20"/>
          <w:szCs w:val="20"/>
          <w:lang w:eastAsia="it-IT"/>
        </w:rPr>
        <w:t xml:space="preserve">        </w:t>
      </w:r>
      <w:r w:rsidRPr="00287439">
        <w:rPr>
          <w:noProof/>
        </w:rPr>
        <w:drawing>
          <wp:inline distT="0" distB="0" distL="0" distR="0" wp14:anchorId="40A27FDB" wp14:editId="350FB90B">
            <wp:extent cx="981075" cy="552450"/>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552450"/>
                    </a:xfrm>
                    <a:prstGeom prst="rect">
                      <a:avLst/>
                    </a:prstGeom>
                    <a:noFill/>
                    <a:ln>
                      <a:noFill/>
                    </a:ln>
                  </pic:spPr>
                </pic:pic>
              </a:graphicData>
            </a:graphic>
          </wp:inline>
        </w:drawing>
      </w:r>
      <w:r w:rsidR="009E33E2">
        <w:rPr>
          <w:rFonts w:ascii="Tahoma" w:eastAsia="Times New Roman" w:hAnsi="Tahoma" w:cs="Tahoma"/>
          <w:color w:val="000000"/>
          <w:sz w:val="20"/>
          <w:szCs w:val="20"/>
          <w:lang w:eastAsia="it-IT"/>
        </w:rPr>
        <w:t xml:space="preserve">     </w:t>
      </w:r>
      <w:r w:rsidR="009E33E2">
        <w:rPr>
          <w:noProof/>
        </w:rPr>
        <w:drawing>
          <wp:inline distT="0" distB="0" distL="0" distR="0" wp14:anchorId="3EEDBFB5" wp14:editId="41E06390">
            <wp:extent cx="561975" cy="533400"/>
            <wp:effectExtent l="0" t="0" r="9525" b="0"/>
            <wp:docPr id="10" name="Immagine 10"/>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inline>
        </w:drawing>
      </w:r>
    </w:p>
    <w:p w14:paraId="4AA77740" w14:textId="77777777" w:rsidR="001475EB" w:rsidRDefault="001475EB" w:rsidP="00745307">
      <w:pPr>
        <w:spacing w:after="0" w:line="240" w:lineRule="auto"/>
        <w:jc w:val="both"/>
        <w:rPr>
          <w:rFonts w:ascii="Tahoma" w:eastAsia="Times New Roman" w:hAnsi="Tahoma" w:cs="Tahoma"/>
          <w:color w:val="000000"/>
          <w:sz w:val="20"/>
          <w:szCs w:val="20"/>
          <w:lang w:eastAsia="it-IT"/>
        </w:rPr>
      </w:pPr>
    </w:p>
    <w:p w14:paraId="53349EEB" w14:textId="77777777" w:rsidR="001475EB" w:rsidRDefault="001475EB" w:rsidP="00745307">
      <w:pPr>
        <w:spacing w:after="0" w:line="240" w:lineRule="auto"/>
        <w:jc w:val="both"/>
        <w:rPr>
          <w:rFonts w:ascii="Tahoma" w:eastAsia="Times New Roman" w:hAnsi="Tahoma" w:cs="Tahoma"/>
          <w:color w:val="000000"/>
          <w:sz w:val="20"/>
          <w:szCs w:val="20"/>
          <w:lang w:eastAsia="it-IT"/>
        </w:rPr>
      </w:pPr>
    </w:p>
    <w:p w14:paraId="2FD5C3F5" w14:textId="77777777" w:rsidR="001475EB" w:rsidRDefault="001475EB" w:rsidP="00745307">
      <w:pPr>
        <w:spacing w:after="0" w:line="240" w:lineRule="auto"/>
        <w:jc w:val="both"/>
        <w:rPr>
          <w:rFonts w:ascii="Tahoma" w:eastAsia="Times New Roman" w:hAnsi="Tahoma" w:cs="Tahoma"/>
          <w:color w:val="000000"/>
          <w:sz w:val="20"/>
          <w:szCs w:val="20"/>
          <w:lang w:eastAsia="it-IT"/>
        </w:rPr>
      </w:pPr>
    </w:p>
    <w:p w14:paraId="351F1259" w14:textId="77777777" w:rsidR="001475EB" w:rsidRDefault="001475EB" w:rsidP="00745307">
      <w:pPr>
        <w:spacing w:after="0" w:line="240" w:lineRule="auto"/>
        <w:jc w:val="both"/>
        <w:rPr>
          <w:rFonts w:ascii="Tahoma" w:eastAsia="Times New Roman" w:hAnsi="Tahoma" w:cs="Tahoma"/>
          <w:color w:val="000000"/>
          <w:sz w:val="20"/>
          <w:szCs w:val="20"/>
          <w:lang w:eastAsia="it-IT"/>
        </w:rPr>
      </w:pPr>
    </w:p>
    <w:p w14:paraId="6894509B" w14:textId="77777777" w:rsidR="001475EB" w:rsidRDefault="001475EB" w:rsidP="00745307">
      <w:pPr>
        <w:spacing w:after="0" w:line="240" w:lineRule="auto"/>
        <w:jc w:val="both"/>
        <w:rPr>
          <w:rFonts w:ascii="Tahoma" w:eastAsia="Times New Roman" w:hAnsi="Tahoma" w:cs="Tahoma"/>
          <w:color w:val="000000"/>
          <w:sz w:val="20"/>
          <w:szCs w:val="20"/>
          <w:lang w:eastAsia="it-IT"/>
        </w:rPr>
      </w:pPr>
    </w:p>
    <w:p w14:paraId="1FE77D9D" w14:textId="77777777" w:rsidR="001475EB" w:rsidRDefault="001475EB" w:rsidP="00745307">
      <w:pPr>
        <w:spacing w:after="0" w:line="240" w:lineRule="auto"/>
        <w:jc w:val="both"/>
        <w:rPr>
          <w:rFonts w:ascii="Tahoma" w:eastAsia="Times New Roman" w:hAnsi="Tahoma" w:cs="Tahoma"/>
          <w:color w:val="000000"/>
          <w:sz w:val="20"/>
          <w:szCs w:val="20"/>
          <w:lang w:eastAsia="it-IT"/>
        </w:rPr>
      </w:pPr>
    </w:p>
    <w:p w14:paraId="11D548E6" w14:textId="77777777" w:rsidR="001475EB" w:rsidRDefault="001475EB" w:rsidP="00745307">
      <w:pPr>
        <w:spacing w:after="0" w:line="240" w:lineRule="auto"/>
        <w:jc w:val="both"/>
        <w:rPr>
          <w:rFonts w:ascii="Tahoma" w:eastAsia="Times New Roman" w:hAnsi="Tahoma" w:cs="Tahoma"/>
          <w:color w:val="000000"/>
          <w:sz w:val="20"/>
          <w:szCs w:val="20"/>
          <w:lang w:eastAsia="it-IT"/>
        </w:rPr>
      </w:pPr>
    </w:p>
    <w:p w14:paraId="2BC29979" w14:textId="77777777" w:rsidR="001475EB" w:rsidRDefault="001475EB" w:rsidP="00745307">
      <w:pPr>
        <w:spacing w:after="0" w:line="240" w:lineRule="auto"/>
        <w:jc w:val="both"/>
        <w:rPr>
          <w:rFonts w:ascii="Tahoma" w:eastAsia="Times New Roman" w:hAnsi="Tahoma" w:cs="Tahoma"/>
          <w:color w:val="000000"/>
          <w:sz w:val="20"/>
          <w:szCs w:val="20"/>
          <w:lang w:eastAsia="it-IT"/>
        </w:rPr>
      </w:pPr>
    </w:p>
    <w:p w14:paraId="304A185F" w14:textId="3E5A5D85" w:rsidR="00631F4B" w:rsidRPr="00631F4B" w:rsidRDefault="00631F4B" w:rsidP="00745307">
      <w:pPr>
        <w:spacing w:after="0" w:line="240" w:lineRule="auto"/>
        <w:jc w:val="both"/>
        <w:rPr>
          <w:rFonts w:ascii="Tahoma" w:eastAsia="Times New Roman" w:hAnsi="Tahoma" w:cs="Tahoma"/>
          <w:color w:val="000000"/>
          <w:sz w:val="20"/>
          <w:szCs w:val="20"/>
          <w:lang w:eastAsia="it-IT"/>
        </w:rPr>
      </w:pPr>
      <w:r w:rsidRPr="00631F4B">
        <w:rPr>
          <w:rFonts w:ascii="Tahoma" w:eastAsia="Times New Roman" w:hAnsi="Tahoma" w:cs="Tahoma"/>
          <w:color w:val="000000"/>
          <w:sz w:val="20"/>
          <w:szCs w:val="20"/>
          <w:lang w:eastAsia="it-IT"/>
        </w:rPr>
        <w:t xml:space="preserve">Ad oggi si assiste all' adozione da parte del Governo di nuove chiusure e limitazioni legate all'emergenza sanitaria, che non sembrano in alcun modo essere considerate a tutela del personale e dell'intera comunità scolastica, alimentando un senso di disagio ed una volontà di protesta che le organizzazioni sindacali hanno inteso ricondurre ad una ordinata e civile espressione di dissenso in tutta </w:t>
      </w:r>
      <w:r>
        <w:rPr>
          <w:rFonts w:ascii="Tahoma" w:eastAsia="Times New Roman" w:hAnsi="Tahoma" w:cs="Tahoma"/>
          <w:color w:val="000000"/>
          <w:sz w:val="20"/>
          <w:szCs w:val="20"/>
          <w:lang w:eastAsia="it-IT"/>
        </w:rPr>
        <w:t>I</w:t>
      </w:r>
      <w:r w:rsidRPr="00631F4B">
        <w:rPr>
          <w:rFonts w:ascii="Tahoma" w:eastAsia="Times New Roman" w:hAnsi="Tahoma" w:cs="Tahoma"/>
          <w:color w:val="000000"/>
          <w:sz w:val="20"/>
          <w:szCs w:val="20"/>
          <w:lang w:eastAsia="it-IT"/>
        </w:rPr>
        <w:t>talia davanti alle prefetture, in data odierna.</w:t>
      </w:r>
    </w:p>
    <w:p w14:paraId="2595D4A6"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276D73BE" w14:textId="7BFF7F8C" w:rsidR="001D6FFE" w:rsidRDefault="00631F4B" w:rsidP="00745307">
      <w:pPr>
        <w:spacing w:after="0" w:line="240" w:lineRule="auto"/>
        <w:jc w:val="both"/>
        <w:rPr>
          <w:rFonts w:ascii="Tahoma" w:eastAsia="Times New Roman" w:hAnsi="Tahoma" w:cs="Tahoma"/>
          <w:color w:val="000000"/>
          <w:sz w:val="20"/>
          <w:szCs w:val="20"/>
          <w:lang w:eastAsia="it-IT"/>
        </w:rPr>
      </w:pPr>
      <w:r w:rsidRPr="00631F4B">
        <w:rPr>
          <w:rFonts w:ascii="Tahoma" w:eastAsia="Times New Roman" w:hAnsi="Tahoma" w:cs="Tahoma"/>
          <w:color w:val="000000"/>
          <w:sz w:val="20"/>
          <w:szCs w:val="20"/>
          <w:lang w:eastAsia="it-IT"/>
        </w:rPr>
        <w:t>I sit</w:t>
      </w:r>
      <w:r>
        <w:rPr>
          <w:rFonts w:ascii="Tahoma" w:eastAsia="Times New Roman" w:hAnsi="Tahoma" w:cs="Tahoma"/>
          <w:color w:val="000000"/>
          <w:sz w:val="20"/>
          <w:szCs w:val="20"/>
          <w:lang w:eastAsia="it-IT"/>
        </w:rPr>
        <w:t>-</w:t>
      </w:r>
      <w:r w:rsidRPr="00631F4B">
        <w:rPr>
          <w:rFonts w:ascii="Tahoma" w:eastAsia="Times New Roman" w:hAnsi="Tahoma" w:cs="Tahoma"/>
          <w:color w:val="000000"/>
          <w:sz w:val="20"/>
          <w:szCs w:val="20"/>
          <w:lang w:eastAsia="it-IT"/>
        </w:rPr>
        <w:t>in, i presidi, i flash mob, realizzati tutti nel rispetto delle misure di distanziamento e di protezione responsabile di s</w:t>
      </w:r>
      <w:r w:rsidR="001D6FFE">
        <w:rPr>
          <w:rFonts w:ascii="Tahoma" w:eastAsia="Times New Roman" w:hAnsi="Tahoma" w:cs="Tahoma"/>
          <w:color w:val="000000"/>
          <w:sz w:val="20"/>
          <w:szCs w:val="20"/>
          <w:lang w:eastAsia="it-IT"/>
        </w:rPr>
        <w:t>é</w:t>
      </w:r>
      <w:r w:rsidRPr="00631F4B">
        <w:rPr>
          <w:rFonts w:ascii="Tahoma" w:eastAsia="Times New Roman" w:hAnsi="Tahoma" w:cs="Tahoma"/>
          <w:color w:val="000000"/>
          <w:sz w:val="20"/>
          <w:szCs w:val="20"/>
          <w:lang w:eastAsia="it-IT"/>
        </w:rPr>
        <w:t xml:space="preserve"> e della intera comunità nazionale, sono finalizzati a richiedere la trasmissione di documenti e relazioni al Governo che segnalino la gravità della situazione e che possano indurlo a trattare questo evento tra i più potenzialmente rischiosi per la salute pubblica. </w:t>
      </w:r>
    </w:p>
    <w:p w14:paraId="2678DB68" w14:textId="77777777" w:rsidR="001D6FFE" w:rsidRDefault="001D6FFE" w:rsidP="00745307">
      <w:pPr>
        <w:spacing w:after="0" w:line="240" w:lineRule="auto"/>
        <w:jc w:val="both"/>
        <w:rPr>
          <w:rFonts w:ascii="Tahoma" w:eastAsia="Times New Roman" w:hAnsi="Tahoma" w:cs="Tahoma"/>
          <w:color w:val="000000"/>
          <w:sz w:val="20"/>
          <w:szCs w:val="20"/>
          <w:lang w:eastAsia="it-IT"/>
        </w:rPr>
      </w:pPr>
    </w:p>
    <w:p w14:paraId="000B9982" w14:textId="2CFDFA52" w:rsidR="00631F4B" w:rsidRPr="00631F4B" w:rsidRDefault="00631F4B" w:rsidP="00745307">
      <w:pPr>
        <w:spacing w:after="0" w:line="240" w:lineRule="auto"/>
        <w:jc w:val="both"/>
        <w:rPr>
          <w:rFonts w:ascii="Tahoma" w:eastAsia="Times New Roman" w:hAnsi="Tahoma" w:cs="Tahoma"/>
          <w:color w:val="000000"/>
          <w:sz w:val="20"/>
          <w:szCs w:val="20"/>
          <w:lang w:eastAsia="it-IT"/>
        </w:rPr>
      </w:pPr>
      <w:r w:rsidRPr="00631F4B">
        <w:rPr>
          <w:rFonts w:ascii="Tahoma" w:eastAsia="Times New Roman" w:hAnsi="Tahoma" w:cs="Tahoma"/>
          <w:color w:val="000000"/>
          <w:sz w:val="20"/>
          <w:szCs w:val="20"/>
          <w:lang w:eastAsia="it-IT"/>
        </w:rPr>
        <w:t>Solo il Governo e i suoi ministri possono ricondurre i concorsi scuola nell'ambito di decisioni ponderate coerenti con la gestione della difficile situazione attuale. Bisogna cominciare da ora, anche per fronteggiare la seconda tornata, quella del concorso ordinario per il quale hanno presentato richiesta di partecipazione 500.000 candidati.</w:t>
      </w:r>
    </w:p>
    <w:p w14:paraId="580CC25A"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7C88E463" w14:textId="77777777" w:rsidR="00631F4B" w:rsidRPr="00631F4B" w:rsidRDefault="00631F4B" w:rsidP="00745307">
      <w:pPr>
        <w:spacing w:after="0" w:line="240" w:lineRule="auto"/>
        <w:jc w:val="both"/>
        <w:rPr>
          <w:rFonts w:ascii="Tahoma" w:eastAsia="Times New Roman" w:hAnsi="Tahoma" w:cs="Tahoma"/>
          <w:color w:val="000000"/>
          <w:sz w:val="20"/>
          <w:szCs w:val="20"/>
          <w:lang w:eastAsia="it-IT"/>
        </w:rPr>
      </w:pPr>
    </w:p>
    <w:p w14:paraId="2AAEB4CF" w14:textId="242A7925" w:rsidR="00631F4B" w:rsidRPr="00631F4B" w:rsidRDefault="00631F4B" w:rsidP="00745307">
      <w:pPr>
        <w:spacing w:after="0" w:line="240" w:lineRule="auto"/>
        <w:jc w:val="both"/>
        <w:rPr>
          <w:rFonts w:ascii="Tahoma" w:eastAsia="Times New Roman" w:hAnsi="Tahoma" w:cs="Tahoma"/>
          <w:color w:val="000000"/>
          <w:sz w:val="20"/>
          <w:szCs w:val="20"/>
          <w:lang w:eastAsia="it-IT"/>
        </w:rPr>
      </w:pPr>
      <w:r w:rsidRPr="00631F4B">
        <w:rPr>
          <w:rFonts w:ascii="Tahoma" w:eastAsia="Times New Roman" w:hAnsi="Tahoma" w:cs="Tahoma"/>
          <w:color w:val="000000"/>
          <w:sz w:val="20"/>
          <w:szCs w:val="20"/>
          <w:lang w:eastAsia="it-IT"/>
        </w:rPr>
        <w:t xml:space="preserve">L'ultima considerazione </w:t>
      </w:r>
      <w:r w:rsidR="001D6FFE">
        <w:rPr>
          <w:rFonts w:ascii="Tahoma" w:eastAsia="Times New Roman" w:hAnsi="Tahoma" w:cs="Tahoma"/>
          <w:color w:val="000000"/>
          <w:sz w:val="20"/>
          <w:szCs w:val="20"/>
          <w:lang w:eastAsia="it-IT"/>
        </w:rPr>
        <w:t xml:space="preserve">è dovuta, </w:t>
      </w:r>
      <w:r w:rsidRPr="00631F4B">
        <w:rPr>
          <w:rFonts w:ascii="Tahoma" w:eastAsia="Times New Roman" w:hAnsi="Tahoma" w:cs="Tahoma"/>
          <w:color w:val="000000"/>
          <w:sz w:val="20"/>
          <w:szCs w:val="20"/>
          <w:lang w:eastAsia="it-IT"/>
        </w:rPr>
        <w:t>infine</w:t>
      </w:r>
      <w:r w:rsidR="001D6FFE">
        <w:rPr>
          <w:rFonts w:ascii="Tahoma" w:eastAsia="Times New Roman" w:hAnsi="Tahoma" w:cs="Tahoma"/>
          <w:color w:val="000000"/>
          <w:sz w:val="20"/>
          <w:szCs w:val="20"/>
          <w:lang w:eastAsia="it-IT"/>
        </w:rPr>
        <w:t xml:space="preserve">, </w:t>
      </w:r>
      <w:r w:rsidRPr="00631F4B">
        <w:rPr>
          <w:rFonts w:ascii="Tahoma" w:eastAsia="Times New Roman" w:hAnsi="Tahoma" w:cs="Tahoma"/>
          <w:color w:val="000000"/>
          <w:sz w:val="20"/>
          <w:szCs w:val="20"/>
          <w:lang w:eastAsia="it-IT"/>
        </w:rPr>
        <w:t xml:space="preserve">agli esiti </w:t>
      </w:r>
      <w:r w:rsidR="001D6FFE">
        <w:rPr>
          <w:rFonts w:ascii="Tahoma" w:eastAsia="Times New Roman" w:hAnsi="Tahoma" w:cs="Tahoma"/>
          <w:color w:val="000000"/>
          <w:sz w:val="20"/>
          <w:szCs w:val="20"/>
          <w:lang w:eastAsia="it-IT"/>
        </w:rPr>
        <w:t>conclusivi</w:t>
      </w:r>
      <w:r w:rsidRPr="00631F4B">
        <w:rPr>
          <w:rFonts w:ascii="Tahoma" w:eastAsia="Times New Roman" w:hAnsi="Tahoma" w:cs="Tahoma"/>
          <w:color w:val="000000"/>
          <w:sz w:val="20"/>
          <w:szCs w:val="20"/>
          <w:lang w:eastAsia="it-IT"/>
        </w:rPr>
        <w:t xml:space="preserve"> delle due procedure. Nessuna si concluderà in tempo utile per dare stabili</w:t>
      </w:r>
      <w:r w:rsidR="001D6FFE">
        <w:rPr>
          <w:rFonts w:ascii="Tahoma" w:eastAsia="Times New Roman" w:hAnsi="Tahoma" w:cs="Tahoma"/>
          <w:color w:val="000000"/>
          <w:sz w:val="20"/>
          <w:szCs w:val="20"/>
          <w:lang w:eastAsia="it-IT"/>
        </w:rPr>
        <w:t xml:space="preserve">zzazione </w:t>
      </w:r>
      <w:r w:rsidRPr="00631F4B">
        <w:rPr>
          <w:rFonts w:ascii="Tahoma" w:eastAsia="Times New Roman" w:hAnsi="Tahoma" w:cs="Tahoma"/>
          <w:color w:val="000000"/>
          <w:sz w:val="20"/>
          <w:szCs w:val="20"/>
          <w:lang w:eastAsia="it-IT"/>
        </w:rPr>
        <w:t>nel corso del corrente anno scolastico</w:t>
      </w:r>
      <w:r w:rsidR="001D6FFE">
        <w:rPr>
          <w:rFonts w:ascii="Tahoma" w:eastAsia="Times New Roman" w:hAnsi="Tahoma" w:cs="Tahoma"/>
          <w:color w:val="000000"/>
          <w:sz w:val="20"/>
          <w:szCs w:val="20"/>
          <w:lang w:eastAsia="it-IT"/>
        </w:rPr>
        <w:t>:</w:t>
      </w:r>
      <w:r w:rsidRPr="00631F4B">
        <w:rPr>
          <w:rFonts w:ascii="Tahoma" w:eastAsia="Times New Roman" w:hAnsi="Tahoma" w:cs="Tahoma"/>
          <w:color w:val="000000"/>
          <w:sz w:val="20"/>
          <w:szCs w:val="20"/>
          <w:lang w:eastAsia="it-IT"/>
        </w:rPr>
        <w:t xml:space="preserve"> lo svolgimento delle prove da fissarsi anche nella primavera del nuovo anno, consentirebbe</w:t>
      </w:r>
      <w:r w:rsidR="001D6FFE">
        <w:rPr>
          <w:rFonts w:ascii="Tahoma" w:eastAsia="Times New Roman" w:hAnsi="Tahoma" w:cs="Tahoma"/>
          <w:color w:val="000000"/>
          <w:sz w:val="20"/>
          <w:szCs w:val="20"/>
          <w:lang w:eastAsia="it-IT"/>
        </w:rPr>
        <w:t xml:space="preserve"> comunque </w:t>
      </w:r>
      <w:r w:rsidRPr="00631F4B">
        <w:rPr>
          <w:rFonts w:ascii="Tahoma" w:eastAsia="Times New Roman" w:hAnsi="Tahoma" w:cs="Tahoma"/>
          <w:color w:val="000000"/>
          <w:sz w:val="20"/>
          <w:szCs w:val="20"/>
          <w:lang w:eastAsia="it-IT"/>
        </w:rPr>
        <w:t>la conclusione entro l'avvio dell'anno scolastico 2021/2022 con buona pace di tutti, scampando il pericolo derivante dalla pandemia che i dati ogni giorno ci confermano rialzare cruentemente la testa.</w:t>
      </w:r>
    </w:p>
    <w:p w14:paraId="4F5C00D2" w14:textId="77777777" w:rsidR="00631F4B" w:rsidRDefault="00631F4B" w:rsidP="00745307">
      <w:pPr>
        <w:jc w:val="both"/>
      </w:pPr>
    </w:p>
    <w:sectPr w:rsidR="00631F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4B"/>
    <w:rsid w:val="001475EB"/>
    <w:rsid w:val="001D6FFE"/>
    <w:rsid w:val="001F7A05"/>
    <w:rsid w:val="002E790F"/>
    <w:rsid w:val="00631F4B"/>
    <w:rsid w:val="00745307"/>
    <w:rsid w:val="00782043"/>
    <w:rsid w:val="00955811"/>
    <w:rsid w:val="009E33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AFDC"/>
  <w15:chartTrackingRefBased/>
  <w15:docId w15:val="{9BFD9C83-35A0-4005-9679-E0D4BA07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utotabella">
    <w:name w:val="Contenuto tabella"/>
    <w:basedOn w:val="Normale"/>
    <w:rsid w:val="002E790F"/>
    <w:pPr>
      <w:widowControl w:val="0"/>
      <w:suppressLineNumbers/>
      <w:suppressAutoHyphens/>
      <w:spacing w:after="200" w:line="240" w:lineRule="auto"/>
    </w:pPr>
    <w:rPr>
      <w:rFonts w:ascii="Cambria" w:eastAsia="Cambria" w:hAnsi="Cambria" w:cs="Cambri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041451">
      <w:bodyDiv w:val="1"/>
      <w:marLeft w:val="0"/>
      <w:marRight w:val="0"/>
      <w:marTop w:val="0"/>
      <w:marBottom w:val="0"/>
      <w:divBdr>
        <w:top w:val="none" w:sz="0" w:space="0" w:color="auto"/>
        <w:left w:val="none" w:sz="0" w:space="0" w:color="auto"/>
        <w:bottom w:val="none" w:sz="0" w:space="0" w:color="auto"/>
        <w:right w:val="none" w:sz="0" w:space="0" w:color="auto"/>
      </w:divBdr>
      <w:divsChild>
        <w:div w:id="120727613">
          <w:marLeft w:val="0"/>
          <w:marRight w:val="0"/>
          <w:marTop w:val="0"/>
          <w:marBottom w:val="0"/>
          <w:divBdr>
            <w:top w:val="none" w:sz="0" w:space="0" w:color="auto"/>
            <w:left w:val="none" w:sz="0" w:space="0" w:color="auto"/>
            <w:bottom w:val="none" w:sz="0" w:space="0" w:color="auto"/>
            <w:right w:val="none" w:sz="0" w:space="0" w:color="auto"/>
          </w:divBdr>
        </w:div>
        <w:div w:id="946813908">
          <w:marLeft w:val="0"/>
          <w:marRight w:val="0"/>
          <w:marTop w:val="0"/>
          <w:marBottom w:val="0"/>
          <w:divBdr>
            <w:top w:val="none" w:sz="0" w:space="0" w:color="auto"/>
            <w:left w:val="none" w:sz="0" w:space="0" w:color="auto"/>
            <w:bottom w:val="none" w:sz="0" w:space="0" w:color="auto"/>
            <w:right w:val="none" w:sz="0" w:space="0" w:color="auto"/>
          </w:divBdr>
        </w:div>
        <w:div w:id="1614825392">
          <w:marLeft w:val="0"/>
          <w:marRight w:val="0"/>
          <w:marTop w:val="0"/>
          <w:marBottom w:val="0"/>
          <w:divBdr>
            <w:top w:val="none" w:sz="0" w:space="0" w:color="auto"/>
            <w:left w:val="none" w:sz="0" w:space="0" w:color="auto"/>
            <w:bottom w:val="none" w:sz="0" w:space="0" w:color="auto"/>
            <w:right w:val="none" w:sz="0" w:space="0" w:color="auto"/>
          </w:divBdr>
        </w:div>
        <w:div w:id="1452548410">
          <w:marLeft w:val="0"/>
          <w:marRight w:val="0"/>
          <w:marTop w:val="0"/>
          <w:marBottom w:val="0"/>
          <w:divBdr>
            <w:top w:val="none" w:sz="0" w:space="0" w:color="auto"/>
            <w:left w:val="none" w:sz="0" w:space="0" w:color="auto"/>
            <w:bottom w:val="none" w:sz="0" w:space="0" w:color="auto"/>
            <w:right w:val="none" w:sz="0" w:space="0" w:color="auto"/>
          </w:divBdr>
        </w:div>
        <w:div w:id="1064260593">
          <w:marLeft w:val="0"/>
          <w:marRight w:val="0"/>
          <w:marTop w:val="0"/>
          <w:marBottom w:val="0"/>
          <w:divBdr>
            <w:top w:val="none" w:sz="0" w:space="0" w:color="auto"/>
            <w:left w:val="none" w:sz="0" w:space="0" w:color="auto"/>
            <w:bottom w:val="none" w:sz="0" w:space="0" w:color="auto"/>
            <w:right w:val="none" w:sz="0" w:space="0" w:color="auto"/>
          </w:divBdr>
        </w:div>
        <w:div w:id="1691563158">
          <w:marLeft w:val="0"/>
          <w:marRight w:val="0"/>
          <w:marTop w:val="0"/>
          <w:marBottom w:val="0"/>
          <w:divBdr>
            <w:top w:val="none" w:sz="0" w:space="0" w:color="auto"/>
            <w:left w:val="none" w:sz="0" w:space="0" w:color="auto"/>
            <w:bottom w:val="none" w:sz="0" w:space="0" w:color="auto"/>
            <w:right w:val="none" w:sz="0" w:space="0" w:color="auto"/>
          </w:divBdr>
        </w:div>
        <w:div w:id="105780593">
          <w:marLeft w:val="0"/>
          <w:marRight w:val="0"/>
          <w:marTop w:val="0"/>
          <w:marBottom w:val="0"/>
          <w:divBdr>
            <w:top w:val="none" w:sz="0" w:space="0" w:color="auto"/>
            <w:left w:val="none" w:sz="0" w:space="0" w:color="auto"/>
            <w:bottom w:val="none" w:sz="0" w:space="0" w:color="auto"/>
            <w:right w:val="none" w:sz="0" w:space="0" w:color="auto"/>
          </w:divBdr>
        </w:div>
        <w:div w:id="336347283">
          <w:marLeft w:val="0"/>
          <w:marRight w:val="0"/>
          <w:marTop w:val="0"/>
          <w:marBottom w:val="0"/>
          <w:divBdr>
            <w:top w:val="none" w:sz="0" w:space="0" w:color="auto"/>
            <w:left w:val="none" w:sz="0" w:space="0" w:color="auto"/>
            <w:bottom w:val="none" w:sz="0" w:space="0" w:color="auto"/>
            <w:right w:val="none" w:sz="0" w:space="0" w:color="auto"/>
          </w:divBdr>
        </w:div>
        <w:div w:id="1722485646">
          <w:marLeft w:val="0"/>
          <w:marRight w:val="0"/>
          <w:marTop w:val="0"/>
          <w:marBottom w:val="0"/>
          <w:divBdr>
            <w:top w:val="none" w:sz="0" w:space="0" w:color="auto"/>
            <w:left w:val="none" w:sz="0" w:space="0" w:color="auto"/>
            <w:bottom w:val="none" w:sz="0" w:space="0" w:color="auto"/>
            <w:right w:val="none" w:sz="0" w:space="0" w:color="auto"/>
          </w:divBdr>
        </w:div>
        <w:div w:id="1414278840">
          <w:marLeft w:val="0"/>
          <w:marRight w:val="0"/>
          <w:marTop w:val="0"/>
          <w:marBottom w:val="0"/>
          <w:divBdr>
            <w:top w:val="none" w:sz="0" w:space="0" w:color="auto"/>
            <w:left w:val="none" w:sz="0" w:space="0" w:color="auto"/>
            <w:bottom w:val="none" w:sz="0" w:space="0" w:color="auto"/>
            <w:right w:val="none" w:sz="0" w:space="0" w:color="auto"/>
          </w:divBdr>
        </w:div>
        <w:div w:id="1694960351">
          <w:marLeft w:val="0"/>
          <w:marRight w:val="0"/>
          <w:marTop w:val="0"/>
          <w:marBottom w:val="0"/>
          <w:divBdr>
            <w:top w:val="none" w:sz="0" w:space="0" w:color="auto"/>
            <w:left w:val="none" w:sz="0" w:space="0" w:color="auto"/>
            <w:bottom w:val="none" w:sz="0" w:space="0" w:color="auto"/>
            <w:right w:val="none" w:sz="0" w:space="0" w:color="auto"/>
          </w:divBdr>
        </w:div>
        <w:div w:id="470830623">
          <w:marLeft w:val="0"/>
          <w:marRight w:val="0"/>
          <w:marTop w:val="0"/>
          <w:marBottom w:val="0"/>
          <w:divBdr>
            <w:top w:val="none" w:sz="0" w:space="0" w:color="auto"/>
            <w:left w:val="none" w:sz="0" w:space="0" w:color="auto"/>
            <w:bottom w:val="none" w:sz="0" w:space="0" w:color="auto"/>
            <w:right w:val="none" w:sz="0" w:space="0" w:color="auto"/>
          </w:divBdr>
        </w:div>
        <w:div w:id="373845099">
          <w:marLeft w:val="0"/>
          <w:marRight w:val="0"/>
          <w:marTop w:val="0"/>
          <w:marBottom w:val="0"/>
          <w:divBdr>
            <w:top w:val="none" w:sz="0" w:space="0" w:color="auto"/>
            <w:left w:val="none" w:sz="0" w:space="0" w:color="auto"/>
            <w:bottom w:val="none" w:sz="0" w:space="0" w:color="auto"/>
            <w:right w:val="none" w:sz="0" w:space="0" w:color="auto"/>
          </w:divBdr>
        </w:div>
        <w:div w:id="1854687147">
          <w:marLeft w:val="0"/>
          <w:marRight w:val="0"/>
          <w:marTop w:val="0"/>
          <w:marBottom w:val="0"/>
          <w:divBdr>
            <w:top w:val="none" w:sz="0" w:space="0" w:color="auto"/>
            <w:left w:val="none" w:sz="0" w:space="0" w:color="auto"/>
            <w:bottom w:val="none" w:sz="0" w:space="0" w:color="auto"/>
            <w:right w:val="none" w:sz="0" w:space="0" w:color="auto"/>
          </w:divBdr>
        </w:div>
        <w:div w:id="54280662">
          <w:marLeft w:val="0"/>
          <w:marRight w:val="0"/>
          <w:marTop w:val="0"/>
          <w:marBottom w:val="0"/>
          <w:divBdr>
            <w:top w:val="none" w:sz="0" w:space="0" w:color="auto"/>
            <w:left w:val="none" w:sz="0" w:space="0" w:color="auto"/>
            <w:bottom w:val="none" w:sz="0" w:space="0" w:color="auto"/>
            <w:right w:val="none" w:sz="0" w:space="0" w:color="auto"/>
          </w:divBdr>
        </w:div>
        <w:div w:id="1400206475">
          <w:marLeft w:val="0"/>
          <w:marRight w:val="0"/>
          <w:marTop w:val="0"/>
          <w:marBottom w:val="0"/>
          <w:divBdr>
            <w:top w:val="none" w:sz="0" w:space="0" w:color="auto"/>
            <w:left w:val="none" w:sz="0" w:space="0" w:color="auto"/>
            <w:bottom w:val="none" w:sz="0" w:space="0" w:color="auto"/>
            <w:right w:val="none" w:sz="0" w:space="0" w:color="auto"/>
          </w:divBdr>
        </w:div>
        <w:div w:id="296568591">
          <w:marLeft w:val="0"/>
          <w:marRight w:val="0"/>
          <w:marTop w:val="0"/>
          <w:marBottom w:val="0"/>
          <w:divBdr>
            <w:top w:val="none" w:sz="0" w:space="0" w:color="auto"/>
            <w:left w:val="none" w:sz="0" w:space="0" w:color="auto"/>
            <w:bottom w:val="none" w:sz="0" w:space="0" w:color="auto"/>
            <w:right w:val="none" w:sz="0" w:space="0" w:color="auto"/>
          </w:divBdr>
        </w:div>
        <w:div w:id="418797498">
          <w:marLeft w:val="0"/>
          <w:marRight w:val="0"/>
          <w:marTop w:val="0"/>
          <w:marBottom w:val="0"/>
          <w:divBdr>
            <w:top w:val="none" w:sz="0" w:space="0" w:color="auto"/>
            <w:left w:val="none" w:sz="0" w:space="0" w:color="auto"/>
            <w:bottom w:val="none" w:sz="0" w:space="0" w:color="auto"/>
            <w:right w:val="none" w:sz="0" w:space="0" w:color="auto"/>
          </w:divBdr>
        </w:div>
        <w:div w:id="307560802">
          <w:marLeft w:val="0"/>
          <w:marRight w:val="0"/>
          <w:marTop w:val="0"/>
          <w:marBottom w:val="0"/>
          <w:divBdr>
            <w:top w:val="none" w:sz="0" w:space="0" w:color="auto"/>
            <w:left w:val="none" w:sz="0" w:space="0" w:color="auto"/>
            <w:bottom w:val="none" w:sz="0" w:space="0" w:color="auto"/>
            <w:right w:val="none" w:sz="0" w:space="0" w:color="auto"/>
          </w:divBdr>
        </w:div>
        <w:div w:id="575670942">
          <w:marLeft w:val="0"/>
          <w:marRight w:val="0"/>
          <w:marTop w:val="0"/>
          <w:marBottom w:val="0"/>
          <w:divBdr>
            <w:top w:val="none" w:sz="0" w:space="0" w:color="auto"/>
            <w:left w:val="none" w:sz="0" w:space="0" w:color="auto"/>
            <w:bottom w:val="none" w:sz="0" w:space="0" w:color="auto"/>
            <w:right w:val="none" w:sz="0" w:space="0" w:color="auto"/>
          </w:divBdr>
        </w:div>
        <w:div w:id="1831560112">
          <w:marLeft w:val="0"/>
          <w:marRight w:val="0"/>
          <w:marTop w:val="0"/>
          <w:marBottom w:val="0"/>
          <w:divBdr>
            <w:top w:val="none" w:sz="0" w:space="0" w:color="auto"/>
            <w:left w:val="none" w:sz="0" w:space="0" w:color="auto"/>
            <w:bottom w:val="none" w:sz="0" w:space="0" w:color="auto"/>
            <w:right w:val="none" w:sz="0" w:space="0" w:color="auto"/>
          </w:divBdr>
        </w:div>
        <w:div w:id="226649047">
          <w:marLeft w:val="0"/>
          <w:marRight w:val="0"/>
          <w:marTop w:val="0"/>
          <w:marBottom w:val="0"/>
          <w:divBdr>
            <w:top w:val="none" w:sz="0" w:space="0" w:color="auto"/>
            <w:left w:val="none" w:sz="0" w:space="0" w:color="auto"/>
            <w:bottom w:val="none" w:sz="0" w:space="0" w:color="auto"/>
            <w:right w:val="none" w:sz="0" w:space="0" w:color="auto"/>
          </w:divBdr>
        </w:div>
        <w:div w:id="1115902260">
          <w:marLeft w:val="0"/>
          <w:marRight w:val="0"/>
          <w:marTop w:val="0"/>
          <w:marBottom w:val="0"/>
          <w:divBdr>
            <w:top w:val="none" w:sz="0" w:space="0" w:color="auto"/>
            <w:left w:val="none" w:sz="0" w:space="0" w:color="auto"/>
            <w:bottom w:val="none" w:sz="0" w:space="0" w:color="auto"/>
            <w:right w:val="none" w:sz="0" w:space="0" w:color="auto"/>
          </w:divBdr>
        </w:div>
        <w:div w:id="1192383045">
          <w:marLeft w:val="0"/>
          <w:marRight w:val="0"/>
          <w:marTop w:val="0"/>
          <w:marBottom w:val="0"/>
          <w:divBdr>
            <w:top w:val="none" w:sz="0" w:space="0" w:color="auto"/>
            <w:left w:val="none" w:sz="0" w:space="0" w:color="auto"/>
            <w:bottom w:val="none" w:sz="0" w:space="0" w:color="auto"/>
            <w:right w:val="none" w:sz="0" w:space="0" w:color="auto"/>
          </w:divBdr>
        </w:div>
        <w:div w:id="1373773369">
          <w:marLeft w:val="0"/>
          <w:marRight w:val="0"/>
          <w:marTop w:val="0"/>
          <w:marBottom w:val="0"/>
          <w:divBdr>
            <w:top w:val="none" w:sz="0" w:space="0" w:color="auto"/>
            <w:left w:val="none" w:sz="0" w:space="0" w:color="auto"/>
            <w:bottom w:val="none" w:sz="0" w:space="0" w:color="auto"/>
            <w:right w:val="none" w:sz="0" w:space="0" w:color="auto"/>
          </w:divBdr>
        </w:div>
        <w:div w:id="97067246">
          <w:marLeft w:val="0"/>
          <w:marRight w:val="0"/>
          <w:marTop w:val="0"/>
          <w:marBottom w:val="0"/>
          <w:divBdr>
            <w:top w:val="none" w:sz="0" w:space="0" w:color="auto"/>
            <w:left w:val="none" w:sz="0" w:space="0" w:color="auto"/>
            <w:bottom w:val="none" w:sz="0" w:space="0" w:color="auto"/>
            <w:right w:val="none" w:sz="0" w:space="0" w:color="auto"/>
          </w:divBdr>
        </w:div>
        <w:div w:id="1333800637">
          <w:marLeft w:val="0"/>
          <w:marRight w:val="0"/>
          <w:marTop w:val="0"/>
          <w:marBottom w:val="0"/>
          <w:divBdr>
            <w:top w:val="none" w:sz="0" w:space="0" w:color="auto"/>
            <w:left w:val="none" w:sz="0" w:space="0" w:color="auto"/>
            <w:bottom w:val="none" w:sz="0" w:space="0" w:color="auto"/>
            <w:right w:val="none" w:sz="0" w:space="0" w:color="auto"/>
          </w:divBdr>
        </w:div>
        <w:div w:id="495221875">
          <w:marLeft w:val="0"/>
          <w:marRight w:val="0"/>
          <w:marTop w:val="0"/>
          <w:marBottom w:val="0"/>
          <w:divBdr>
            <w:top w:val="none" w:sz="0" w:space="0" w:color="auto"/>
            <w:left w:val="none" w:sz="0" w:space="0" w:color="auto"/>
            <w:bottom w:val="none" w:sz="0" w:space="0" w:color="auto"/>
            <w:right w:val="none" w:sz="0" w:space="0" w:color="auto"/>
          </w:divBdr>
        </w:div>
        <w:div w:id="2012945734">
          <w:marLeft w:val="0"/>
          <w:marRight w:val="0"/>
          <w:marTop w:val="0"/>
          <w:marBottom w:val="0"/>
          <w:divBdr>
            <w:top w:val="none" w:sz="0" w:space="0" w:color="auto"/>
            <w:left w:val="none" w:sz="0" w:space="0" w:color="auto"/>
            <w:bottom w:val="none" w:sz="0" w:space="0" w:color="auto"/>
            <w:right w:val="none" w:sz="0" w:space="0" w:color="auto"/>
          </w:divBdr>
        </w:div>
        <w:div w:id="212354601">
          <w:marLeft w:val="0"/>
          <w:marRight w:val="0"/>
          <w:marTop w:val="0"/>
          <w:marBottom w:val="0"/>
          <w:divBdr>
            <w:top w:val="none" w:sz="0" w:space="0" w:color="auto"/>
            <w:left w:val="none" w:sz="0" w:space="0" w:color="auto"/>
            <w:bottom w:val="none" w:sz="0" w:space="0" w:color="auto"/>
            <w:right w:val="none" w:sz="0" w:space="0" w:color="auto"/>
          </w:divBdr>
        </w:div>
        <w:div w:id="1002898418">
          <w:marLeft w:val="0"/>
          <w:marRight w:val="0"/>
          <w:marTop w:val="0"/>
          <w:marBottom w:val="0"/>
          <w:divBdr>
            <w:top w:val="none" w:sz="0" w:space="0" w:color="auto"/>
            <w:left w:val="none" w:sz="0" w:space="0" w:color="auto"/>
            <w:bottom w:val="none" w:sz="0" w:space="0" w:color="auto"/>
            <w:right w:val="none" w:sz="0" w:space="0" w:color="auto"/>
          </w:divBdr>
        </w:div>
        <w:div w:id="187079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11" Type="http://schemas.openxmlformats.org/officeDocument/2006/relationships/theme" Target="theme/theme1.xml" /><Relationship Id="rId5" Type="http://schemas.openxmlformats.org/officeDocument/2006/relationships/image" Target="media/image2.emf" /><Relationship Id="rId10" Type="http://schemas.openxmlformats.org/officeDocument/2006/relationships/fontTable" Target="fontTable.xml" /><Relationship Id="rId4" Type="http://schemas.openxmlformats.org/officeDocument/2006/relationships/image" Target="media/image1.emf" /><Relationship Id="rId9" Type="http://schemas.openxmlformats.org/officeDocument/2006/relationships/image" Target="media/image6.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Lello Macro</dc:creator>
  <cp:keywords/>
  <dc:description/>
  <cp:lastModifiedBy>Irene Tempera</cp:lastModifiedBy>
  <cp:revision>2</cp:revision>
  <dcterms:created xsi:type="dcterms:W3CDTF">2020-10-12T12:05:00Z</dcterms:created>
  <dcterms:modified xsi:type="dcterms:W3CDTF">2020-10-12T12:05:00Z</dcterms:modified>
</cp:coreProperties>
</file>