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C659" w14:textId="77777777" w:rsidR="00DD72D3" w:rsidRPr="003112AD" w:rsidRDefault="00DD72D3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noProof/>
          <w:color w:val="44546A" w:themeColor="text2"/>
          <w:lang w:eastAsia="it-IT"/>
        </w:rPr>
        <w:drawing>
          <wp:anchor distT="0" distB="0" distL="114300" distR="114300" simplePos="0" relativeHeight="251659264" behindDoc="0" locked="0" layoutInCell="1" allowOverlap="1" wp14:anchorId="71C73A6E" wp14:editId="031980E8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889760" cy="579120"/>
            <wp:effectExtent l="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32B0E" w14:textId="77777777" w:rsidR="00DD72D3" w:rsidRPr="003112AD" w:rsidRDefault="00DD72D3" w:rsidP="003112AD">
      <w:pPr>
        <w:rPr>
          <w:rFonts w:cstheme="minorHAnsi"/>
          <w:color w:val="44546A" w:themeColor="text2"/>
        </w:rPr>
      </w:pPr>
    </w:p>
    <w:p w14:paraId="5F47B969" w14:textId="77777777" w:rsidR="00DD72D3" w:rsidRPr="003112AD" w:rsidRDefault="00DD72D3" w:rsidP="003112AD">
      <w:pPr>
        <w:rPr>
          <w:rFonts w:cstheme="minorHAnsi"/>
          <w:color w:val="44546A" w:themeColor="text2"/>
        </w:rPr>
      </w:pPr>
    </w:p>
    <w:p w14:paraId="5DA0DE9D" w14:textId="77777777" w:rsidR="002005CA" w:rsidRPr="003112AD" w:rsidRDefault="002005CA" w:rsidP="003112AD">
      <w:pPr>
        <w:rPr>
          <w:rFonts w:cstheme="minorHAnsi"/>
          <w:color w:val="44546A" w:themeColor="text2"/>
        </w:rPr>
      </w:pPr>
    </w:p>
    <w:p w14:paraId="46B427B9" w14:textId="7751E2D4" w:rsidR="00081837" w:rsidRPr="003112AD" w:rsidRDefault="005C2034" w:rsidP="003112AD">
      <w:pPr>
        <w:rPr>
          <w:rFonts w:cstheme="minorHAnsi"/>
          <w:b/>
          <w:color w:val="44546A" w:themeColor="text2"/>
          <w:sz w:val="36"/>
          <w:szCs w:val="36"/>
        </w:rPr>
      </w:pPr>
      <w:r w:rsidRPr="003112AD">
        <w:rPr>
          <w:rFonts w:cstheme="minorHAnsi"/>
          <w:bCs/>
          <w:color w:val="44546A" w:themeColor="text2"/>
        </w:rPr>
        <w:t>AVVIATO IL CONFRONTO SUL PNRR NELLA SUA DECLINAZIONE SCOLASTICA</w:t>
      </w:r>
      <w:r w:rsidR="003112AD">
        <w:rPr>
          <w:rFonts w:cstheme="minorHAnsi"/>
          <w:bCs/>
          <w:color w:val="44546A" w:themeColor="text2"/>
        </w:rPr>
        <w:br/>
      </w:r>
      <w:r w:rsidR="003112AD" w:rsidRPr="003112AD">
        <w:rPr>
          <w:rFonts w:cstheme="minorHAnsi"/>
          <w:b/>
          <w:color w:val="44546A" w:themeColor="text2"/>
          <w:sz w:val="36"/>
          <w:szCs w:val="36"/>
        </w:rPr>
        <w:t>La formazione dei prof punto dirimente</w:t>
      </w:r>
      <w:r w:rsidR="003112AD">
        <w:rPr>
          <w:rFonts w:cstheme="minorHAnsi"/>
          <w:b/>
          <w:color w:val="44546A" w:themeColor="text2"/>
          <w:sz w:val="36"/>
          <w:szCs w:val="36"/>
        </w:rPr>
        <w:br/>
      </w:r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>(</w:t>
      </w:r>
      <w:proofErr w:type="spellStart"/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>Ri</w:t>
      </w:r>
      <w:proofErr w:type="spellEnd"/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 xml:space="preserve">) Formare 850.000 insegnanti </w:t>
      </w:r>
      <w:r w:rsidR="003112AD">
        <w:rPr>
          <w:rFonts w:cstheme="minorHAnsi"/>
          <w:b/>
          <w:i/>
          <w:iCs/>
          <w:color w:val="44546A" w:themeColor="text2"/>
          <w:sz w:val="28"/>
          <w:szCs w:val="28"/>
        </w:rPr>
        <w:t>è</w:t>
      </w:r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 xml:space="preserve"> un’azione culturalmente azzardata</w:t>
      </w:r>
    </w:p>
    <w:p w14:paraId="2E0AF445" w14:textId="77777777" w:rsidR="003112AD" w:rsidRPr="003112AD" w:rsidRDefault="003112AD" w:rsidP="003112AD">
      <w:pPr>
        <w:spacing w:after="0"/>
        <w:rPr>
          <w:rFonts w:cstheme="minorHAnsi"/>
          <w:color w:val="44546A" w:themeColor="text2"/>
        </w:rPr>
      </w:pPr>
    </w:p>
    <w:p w14:paraId="1A7FD3AF" w14:textId="1B77C9A4" w:rsidR="00DD72D3" w:rsidRPr="003112AD" w:rsidRDefault="003112AD" w:rsidP="003112AD">
      <w:pPr>
        <w:spacing w:after="0"/>
        <w:rPr>
          <w:rFonts w:cstheme="minorHAnsi"/>
          <w:color w:val="44546A" w:themeColor="text2"/>
        </w:rPr>
      </w:pPr>
      <w:r>
        <w:rPr>
          <w:rFonts w:cstheme="minorHAnsi"/>
          <w:color w:val="44546A" w:themeColor="text2"/>
        </w:rPr>
        <w:t>Il 3</w:t>
      </w:r>
      <w:r w:rsidR="00DD72D3" w:rsidRPr="003112AD">
        <w:rPr>
          <w:rFonts w:cstheme="minorHAnsi"/>
          <w:color w:val="44546A" w:themeColor="text2"/>
        </w:rPr>
        <w:t xml:space="preserve"> settembre 2021 si è tenuto un incontro tra i rappresentanti delle Organizzazioni Sindacali firmatarie del Contratto Collettivo Nazionale di Lavoro del Comparto Scuola e il Ministro dell’</w:t>
      </w:r>
      <w:r w:rsidR="009D5D20" w:rsidRPr="003112AD">
        <w:rPr>
          <w:rFonts w:cstheme="minorHAnsi"/>
          <w:color w:val="44546A" w:themeColor="text2"/>
        </w:rPr>
        <w:t>Istruzione, Patrizio Bianchi</w:t>
      </w:r>
      <w:r w:rsidR="00DD72D3" w:rsidRPr="003112AD">
        <w:rPr>
          <w:rFonts w:cstheme="minorHAnsi"/>
          <w:color w:val="44546A" w:themeColor="text2"/>
        </w:rPr>
        <w:t xml:space="preserve">, per discutere </w:t>
      </w:r>
      <w:r w:rsidR="00DD72D3" w:rsidRPr="003112AD">
        <w:rPr>
          <w:rFonts w:cstheme="minorHAnsi"/>
          <w:i/>
          <w:color w:val="44546A" w:themeColor="text2"/>
        </w:rPr>
        <w:t>“Il PNRR (Piano Na</w:t>
      </w:r>
      <w:r w:rsidR="009D5D20" w:rsidRPr="003112AD">
        <w:rPr>
          <w:rFonts w:cstheme="minorHAnsi"/>
          <w:i/>
          <w:color w:val="44546A" w:themeColor="text2"/>
        </w:rPr>
        <w:t xml:space="preserve">zionale di Ripresa e Resilienza) </w:t>
      </w:r>
      <w:r w:rsidR="00DD72D3" w:rsidRPr="003112AD">
        <w:rPr>
          <w:rFonts w:cstheme="minorHAnsi"/>
          <w:i/>
          <w:color w:val="44546A" w:themeColor="text2"/>
        </w:rPr>
        <w:t>per la scuola</w:t>
      </w:r>
      <w:r w:rsidR="009D5D20" w:rsidRPr="003112AD">
        <w:rPr>
          <w:rFonts w:cstheme="minorHAnsi"/>
          <w:i/>
          <w:color w:val="44546A" w:themeColor="text2"/>
        </w:rPr>
        <w:t>)</w:t>
      </w:r>
      <w:r w:rsidR="009D5D20" w:rsidRPr="003112AD">
        <w:rPr>
          <w:rStyle w:val="Rimandonotaapidipagina"/>
          <w:rFonts w:cstheme="minorHAnsi"/>
          <w:i/>
          <w:color w:val="44546A" w:themeColor="text2"/>
        </w:rPr>
        <w:footnoteReference w:id="1"/>
      </w:r>
      <w:r w:rsidR="00DD72D3" w:rsidRPr="003112AD">
        <w:rPr>
          <w:rFonts w:cstheme="minorHAnsi"/>
          <w:i/>
          <w:color w:val="44546A" w:themeColor="text2"/>
        </w:rPr>
        <w:t>”</w:t>
      </w:r>
    </w:p>
    <w:p w14:paraId="34E89387" w14:textId="77777777" w:rsidR="00DD72D3" w:rsidRPr="003112AD" w:rsidRDefault="009D5D20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Per la UIL Scuola ha</w:t>
      </w:r>
      <w:r w:rsidR="00DD72D3" w:rsidRPr="003112AD">
        <w:rPr>
          <w:rFonts w:cstheme="minorHAnsi"/>
          <w:color w:val="44546A" w:themeColor="text2"/>
        </w:rPr>
        <w:t xml:space="preserve"> partecipato: Pino Turi.  Per la Confederazione</w:t>
      </w:r>
      <w:r w:rsidRPr="003112AD">
        <w:rPr>
          <w:rFonts w:cstheme="minorHAnsi"/>
          <w:color w:val="44546A" w:themeColor="text2"/>
        </w:rPr>
        <w:t>,</w:t>
      </w:r>
      <w:r w:rsidR="00DD72D3" w:rsidRPr="003112AD">
        <w:rPr>
          <w:rFonts w:cstheme="minorHAnsi"/>
          <w:color w:val="44546A" w:themeColor="text2"/>
        </w:rPr>
        <w:t xml:space="preserve"> Ivana Veronese.</w:t>
      </w:r>
    </w:p>
    <w:p w14:paraId="5970694C" w14:textId="77777777" w:rsidR="00DD72D3" w:rsidRPr="003112AD" w:rsidRDefault="00DD72D3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L’incontro ha visto la proposizione di due relazioni, una tecnica del Capo Di Gabinetto del Ministro, dott. Luigi Fiorentino, l’altra politica del Ministro Bianchi.</w:t>
      </w:r>
    </w:p>
    <w:p w14:paraId="48847ED9" w14:textId="77777777" w:rsidR="00537297" w:rsidRPr="003112AD" w:rsidRDefault="00DD72D3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In apertura, Il Ministro ha tenuto a sottolineare come l’intero progetto</w:t>
      </w:r>
      <w:r w:rsidR="00537297" w:rsidRPr="003112AD">
        <w:rPr>
          <w:rFonts w:cstheme="minorHAnsi"/>
          <w:color w:val="44546A" w:themeColor="text2"/>
        </w:rPr>
        <w:t xml:space="preserve"> contemplato dal PNRR</w:t>
      </w:r>
      <w:r w:rsidRPr="003112AD">
        <w:rPr>
          <w:rFonts w:cstheme="minorHAnsi"/>
          <w:color w:val="44546A" w:themeColor="text2"/>
        </w:rPr>
        <w:t xml:space="preserve"> rivesta carattere di unitarietà </w:t>
      </w:r>
      <w:r w:rsidR="00537297" w:rsidRPr="003112AD">
        <w:rPr>
          <w:rFonts w:cstheme="minorHAnsi"/>
          <w:color w:val="44546A" w:themeColor="text2"/>
        </w:rPr>
        <w:t>ed investa il Governo nella sua espressione collegiale. La sua definizione, come la sua realizzazione, sarà realizzata attraverso un’attenta interrelazione con tutti i dicasteri interessati.</w:t>
      </w:r>
      <w:r w:rsidR="00FD17AA" w:rsidRPr="003112AD">
        <w:rPr>
          <w:rFonts w:cstheme="minorHAnsi"/>
          <w:color w:val="44546A" w:themeColor="text2"/>
        </w:rPr>
        <w:t xml:space="preserve"> </w:t>
      </w:r>
      <w:r w:rsidR="00537297" w:rsidRPr="003112AD">
        <w:rPr>
          <w:rFonts w:cstheme="minorHAnsi"/>
          <w:color w:val="44546A" w:themeColor="text2"/>
        </w:rPr>
        <w:t>Si è passato, poi, a trattare i 9 interventi di riforma, i 14 programmi di investimento e 1 di potenziamento di cui consta il PNRR nella sua declinazione scolastica. La spesa complessiva prevista è di 30.88 MLD di euro, di cui 19.44 riguardano la scuola in senso stretto, gli altri 11.44 gli ambiti di Ricerca e Impresa.</w:t>
      </w:r>
    </w:p>
    <w:p w14:paraId="1E031670" w14:textId="77777777" w:rsidR="00FD17AA" w:rsidRPr="003112AD" w:rsidRDefault="00FD17AA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Tra gli aspetti che inducono alla riflessione e alla prudenza, due li ha introdotti il Ministro Bianchi. Il primo ha riguardato i rischi insiti in un’eccessiva parcellizzazione degli interventi che presuppongono un’interlocuzione molto articolata, l’altro la capacità di spesa degli enti locali (comuni e province) a cui è affidata la gran parte degli interventi attuativi in materia di infrastrutture.</w:t>
      </w:r>
    </w:p>
    <w:p w14:paraId="778084BA" w14:textId="768EC8D4" w:rsidR="009D5D20" w:rsidRPr="003112AD" w:rsidRDefault="009D5D20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 xml:space="preserve">Ivana Veronese, intervenuta in rappresentanza della Confederazione, ha posto il tema delle risorse finanziarie, </w:t>
      </w:r>
      <w:r w:rsidR="00D15361" w:rsidRPr="003112AD">
        <w:rPr>
          <w:rFonts w:cstheme="minorHAnsi"/>
          <w:color w:val="44546A" w:themeColor="text2"/>
        </w:rPr>
        <w:t>chiedendo</w:t>
      </w:r>
      <w:r w:rsidRPr="003112AD">
        <w:rPr>
          <w:rFonts w:cstheme="minorHAnsi"/>
          <w:color w:val="44546A" w:themeColor="text2"/>
        </w:rPr>
        <w:t xml:space="preserve"> di fare chiarezza tra le due programmazioni finanziarie</w:t>
      </w:r>
      <w:r w:rsidR="00D15361" w:rsidRPr="003112AD">
        <w:rPr>
          <w:rFonts w:cstheme="minorHAnsi"/>
          <w:color w:val="44546A" w:themeColor="text2"/>
        </w:rPr>
        <w:t xml:space="preserve"> esistenti</w:t>
      </w:r>
      <w:r w:rsidRPr="003112AD">
        <w:rPr>
          <w:rFonts w:cstheme="minorHAnsi"/>
          <w:color w:val="44546A" w:themeColor="text2"/>
        </w:rPr>
        <w:t xml:space="preserve"> </w:t>
      </w:r>
      <w:r w:rsidR="00D15361" w:rsidRPr="003112AD">
        <w:rPr>
          <w:rFonts w:cstheme="minorHAnsi"/>
          <w:color w:val="44546A" w:themeColor="text2"/>
        </w:rPr>
        <w:t xml:space="preserve">(quella </w:t>
      </w:r>
      <w:r w:rsidRPr="003112AD">
        <w:rPr>
          <w:rFonts w:cstheme="minorHAnsi"/>
          <w:color w:val="44546A" w:themeColor="text2"/>
        </w:rPr>
        <w:t xml:space="preserve">del FSE e </w:t>
      </w:r>
      <w:r w:rsidR="00D15361" w:rsidRPr="003112AD">
        <w:rPr>
          <w:rFonts w:cstheme="minorHAnsi"/>
          <w:color w:val="44546A" w:themeColor="text2"/>
        </w:rPr>
        <w:t>l’altra</w:t>
      </w:r>
      <w:r w:rsidRPr="003112AD">
        <w:rPr>
          <w:rFonts w:cstheme="minorHAnsi"/>
          <w:color w:val="44546A" w:themeColor="text2"/>
        </w:rPr>
        <w:t xml:space="preserve"> in fieri del PNRR). Ha poi posto il problema delle esiguità </w:t>
      </w:r>
      <w:r w:rsidR="00D15361" w:rsidRPr="003112AD">
        <w:rPr>
          <w:rFonts w:cstheme="minorHAnsi"/>
          <w:color w:val="44546A" w:themeColor="text2"/>
        </w:rPr>
        <w:t>delle risorse dedicate al Sud, il 40% è del tutto insufficiente per colmare i divari storici esistenti, chiedendo di adottare un modello di governance con cui monitorare l’intero processo riformatore in cui le parti sociali abbiano un ruolo effettivo di proposta e di verifica.</w:t>
      </w:r>
      <w:r w:rsidRPr="003112AD">
        <w:rPr>
          <w:rFonts w:cstheme="minorHAnsi"/>
          <w:color w:val="44546A" w:themeColor="text2"/>
        </w:rPr>
        <w:t xml:space="preserve">  </w:t>
      </w:r>
    </w:p>
    <w:p w14:paraId="1870BCB3" w14:textId="67C8D894" w:rsidR="00FD17AA" w:rsidRPr="003112AD" w:rsidRDefault="00FD17AA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 xml:space="preserve">La UIL SCUOLA ha rilevato come i nove interventi di riforma interessino tutti gli ambiti, </w:t>
      </w:r>
      <w:proofErr w:type="gramStart"/>
      <w:r w:rsidRPr="003112AD">
        <w:rPr>
          <w:rFonts w:cstheme="minorHAnsi"/>
          <w:color w:val="44546A" w:themeColor="text2"/>
        </w:rPr>
        <w:t>dal pre</w:t>
      </w:r>
      <w:r w:rsidR="0066548D">
        <w:rPr>
          <w:rFonts w:cstheme="minorHAnsi"/>
          <w:color w:val="44546A" w:themeColor="text2"/>
        </w:rPr>
        <w:t>-</w:t>
      </w:r>
      <w:r w:rsidRPr="003112AD">
        <w:rPr>
          <w:rFonts w:cstheme="minorHAnsi"/>
          <w:color w:val="44546A" w:themeColor="text2"/>
        </w:rPr>
        <w:t>scuola</w:t>
      </w:r>
      <w:proofErr w:type="gramEnd"/>
      <w:r w:rsidRPr="003112AD">
        <w:rPr>
          <w:rFonts w:cstheme="minorHAnsi"/>
          <w:color w:val="44546A" w:themeColor="text2"/>
        </w:rPr>
        <w:t xml:space="preserve"> dei nidi e dell’infanzia sino alla ricerca, passando per l’istruzione terziaria (accademica e non accademica), con una cospicua dotazione finanziaria pari al 20% circa dell’intero budget. Un’operazione </w:t>
      </w:r>
      <w:r w:rsidR="00D15361" w:rsidRPr="003112AD">
        <w:rPr>
          <w:rFonts w:cstheme="minorHAnsi"/>
          <w:color w:val="44546A" w:themeColor="text2"/>
        </w:rPr>
        <w:t>epocale</w:t>
      </w:r>
      <w:r w:rsidRPr="003112AD">
        <w:rPr>
          <w:rFonts w:cstheme="minorHAnsi"/>
          <w:color w:val="44546A" w:themeColor="text2"/>
        </w:rPr>
        <w:t xml:space="preserve"> che tocca sia gli aspetti infrastrutturali (edifici e reti), che quelli più complessi del know</w:t>
      </w:r>
      <w:r w:rsidR="003112AD">
        <w:rPr>
          <w:rFonts w:cstheme="minorHAnsi"/>
          <w:color w:val="44546A" w:themeColor="text2"/>
        </w:rPr>
        <w:t>-</w:t>
      </w:r>
      <w:r w:rsidRPr="003112AD">
        <w:rPr>
          <w:rFonts w:cstheme="minorHAnsi"/>
          <w:color w:val="44546A" w:themeColor="text2"/>
        </w:rPr>
        <w:t>how, sicuramente unica nella storia dell’Italia repubblicana. In questo contesto brilla il segmento neonato dell’Istruzione Tecnica Superiore (ribattezzato ITS Academy), che si prefigge di realizzare il collegamento scuola – lavoro solo timidamente approcciato con i progetti di alternanza scuola-lavoro</w:t>
      </w:r>
      <w:r w:rsidR="00D15361" w:rsidRPr="003112AD">
        <w:rPr>
          <w:rFonts w:cstheme="minorHAnsi"/>
          <w:color w:val="44546A" w:themeColor="text2"/>
        </w:rPr>
        <w:t xml:space="preserve"> (PCTO)</w:t>
      </w:r>
      <w:r w:rsidRPr="003112AD">
        <w:rPr>
          <w:rFonts w:cstheme="minorHAnsi"/>
          <w:color w:val="44546A" w:themeColor="text2"/>
        </w:rPr>
        <w:t xml:space="preserve">, riponendoli totalmente nelle mani delle imprese. Il disegno di legge in corso di esame in Parlamento ne assegna </w:t>
      </w:r>
      <w:proofErr w:type="spellStart"/>
      <w:r w:rsidRPr="003112AD">
        <w:rPr>
          <w:rFonts w:cstheme="minorHAnsi"/>
          <w:i/>
          <w:color w:val="44546A" w:themeColor="text2"/>
        </w:rPr>
        <w:t>ope</w:t>
      </w:r>
      <w:proofErr w:type="spellEnd"/>
      <w:r w:rsidRPr="003112AD">
        <w:rPr>
          <w:rFonts w:cstheme="minorHAnsi"/>
          <w:i/>
          <w:color w:val="44546A" w:themeColor="text2"/>
        </w:rPr>
        <w:t xml:space="preserve"> legis </w:t>
      </w:r>
      <w:r w:rsidRPr="003112AD">
        <w:rPr>
          <w:rFonts w:cstheme="minorHAnsi"/>
          <w:color w:val="44546A" w:themeColor="text2"/>
        </w:rPr>
        <w:t>presidenza e docenze, al Ministero dell’Istruzione residuano compiti di coordinamento, di finanziamento (le risorse sono prevalentemente/esclusivamente pubbliche) e di ratifica.</w:t>
      </w:r>
    </w:p>
    <w:p w14:paraId="3803CC82" w14:textId="77777777" w:rsidR="00293D20" w:rsidRPr="003112AD" w:rsidRDefault="00FD17AA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lastRenderedPageBreak/>
        <w:t xml:space="preserve">La UIL SCUOLA, riprendendo le riflessioni del Ministro, ha </w:t>
      </w:r>
      <w:r w:rsidR="00293D20" w:rsidRPr="003112AD">
        <w:rPr>
          <w:rFonts w:cstheme="minorHAnsi"/>
          <w:color w:val="44546A" w:themeColor="text2"/>
        </w:rPr>
        <w:t xml:space="preserve">stigmatizzato la delicatezza dei compiti assegnati agli egli enti locali con specifico riguardo alle Province che, </w:t>
      </w:r>
      <w:r w:rsidR="00D15361" w:rsidRPr="003112AD">
        <w:rPr>
          <w:rFonts w:cstheme="minorHAnsi"/>
          <w:color w:val="44546A" w:themeColor="text2"/>
        </w:rPr>
        <w:t>depotenzia</w:t>
      </w:r>
      <w:r w:rsidRPr="003112AD">
        <w:rPr>
          <w:rFonts w:cstheme="minorHAnsi"/>
          <w:color w:val="44546A" w:themeColor="text2"/>
        </w:rPr>
        <w:t>te dalla riforma Del Rio</w:t>
      </w:r>
      <w:r w:rsidR="00293D20" w:rsidRPr="003112AD">
        <w:rPr>
          <w:rFonts w:cstheme="minorHAnsi"/>
          <w:color w:val="44546A" w:themeColor="text2"/>
        </w:rPr>
        <w:t>,</w:t>
      </w:r>
      <w:r w:rsidRPr="003112AD">
        <w:rPr>
          <w:rFonts w:cstheme="minorHAnsi"/>
          <w:color w:val="44546A" w:themeColor="text2"/>
        </w:rPr>
        <w:t xml:space="preserve"> </w:t>
      </w:r>
      <w:r w:rsidR="00293D20" w:rsidRPr="003112AD">
        <w:rPr>
          <w:rFonts w:cstheme="minorHAnsi"/>
          <w:color w:val="44546A" w:themeColor="text2"/>
        </w:rPr>
        <w:t>rappresentano</w:t>
      </w:r>
      <w:r w:rsidRPr="003112AD">
        <w:rPr>
          <w:rFonts w:cstheme="minorHAnsi"/>
          <w:color w:val="44546A" w:themeColor="text2"/>
        </w:rPr>
        <w:t xml:space="preserve"> il vulnus più evidente</w:t>
      </w:r>
      <w:r w:rsidR="00293D20" w:rsidRPr="003112AD">
        <w:rPr>
          <w:rFonts w:cstheme="minorHAnsi"/>
          <w:color w:val="44546A" w:themeColor="text2"/>
        </w:rPr>
        <w:t xml:space="preserve"> con cui occorrerà fare i conti. Situazione, questa, che andrà continuamente monitorata</w:t>
      </w:r>
      <w:r w:rsidR="00D15361" w:rsidRPr="003112AD">
        <w:rPr>
          <w:rFonts w:cstheme="minorHAnsi"/>
          <w:color w:val="44546A" w:themeColor="text2"/>
        </w:rPr>
        <w:t xml:space="preserve"> prevedendo interventi di surro</w:t>
      </w:r>
      <w:r w:rsidR="00293D20" w:rsidRPr="003112AD">
        <w:rPr>
          <w:rFonts w:cstheme="minorHAnsi"/>
          <w:color w:val="44546A" w:themeColor="text2"/>
        </w:rPr>
        <w:t xml:space="preserve">ga nei casi di inadempimento. </w:t>
      </w:r>
    </w:p>
    <w:p w14:paraId="04C97AE3" w14:textId="246B652A" w:rsidR="00FD17AA" w:rsidRPr="003112AD" w:rsidRDefault="00293D20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 xml:space="preserve">Ma </w:t>
      </w:r>
      <w:r w:rsidR="003112AD" w:rsidRPr="003112AD">
        <w:rPr>
          <w:rFonts w:cstheme="minorHAnsi"/>
          <w:color w:val="44546A" w:themeColor="text2"/>
        </w:rPr>
        <w:t>le preoccupazioni</w:t>
      </w:r>
      <w:r w:rsidRPr="003112AD">
        <w:rPr>
          <w:rFonts w:cstheme="minorHAnsi"/>
          <w:color w:val="44546A" w:themeColor="text2"/>
        </w:rPr>
        <w:t xml:space="preserve"> maggiori</w:t>
      </w:r>
      <w:r w:rsidR="00FD17AA" w:rsidRPr="003112AD">
        <w:rPr>
          <w:rFonts w:cstheme="minorHAnsi"/>
          <w:color w:val="44546A" w:themeColor="text2"/>
        </w:rPr>
        <w:t xml:space="preserve"> </w:t>
      </w:r>
      <w:r w:rsidRPr="003112AD">
        <w:rPr>
          <w:rFonts w:cstheme="minorHAnsi"/>
          <w:color w:val="44546A" w:themeColor="text2"/>
        </w:rPr>
        <w:t>attengono</w:t>
      </w:r>
      <w:r w:rsidR="00FD17AA" w:rsidRPr="003112AD">
        <w:rPr>
          <w:rFonts w:cstheme="minorHAnsi"/>
          <w:color w:val="44546A" w:themeColor="text2"/>
        </w:rPr>
        <w:t xml:space="preserve"> </w:t>
      </w:r>
      <w:r w:rsidR="00D15361" w:rsidRPr="003112AD">
        <w:rPr>
          <w:rFonts w:cstheme="minorHAnsi"/>
          <w:color w:val="44546A" w:themeColor="text2"/>
        </w:rPr>
        <w:t>al</w:t>
      </w:r>
      <w:r w:rsidR="00FD17AA" w:rsidRPr="003112AD">
        <w:rPr>
          <w:rFonts w:cstheme="minorHAnsi"/>
          <w:color w:val="44546A" w:themeColor="text2"/>
        </w:rPr>
        <w:t xml:space="preserve">la filosofia ispiratrice del Piano: nei nove interventi di riforma, uno riguarda il miglioramento dei processi di </w:t>
      </w:r>
      <w:r w:rsidR="009D5D20" w:rsidRPr="003112AD">
        <w:rPr>
          <w:rFonts w:cstheme="minorHAnsi"/>
          <w:color w:val="44546A" w:themeColor="text2"/>
        </w:rPr>
        <w:t>“</w:t>
      </w:r>
      <w:r w:rsidR="00FD17AA" w:rsidRPr="003112AD">
        <w:rPr>
          <w:rFonts w:cstheme="minorHAnsi"/>
          <w:color w:val="44546A" w:themeColor="text2"/>
        </w:rPr>
        <w:t>r</w:t>
      </w:r>
      <w:r w:rsidR="00FD17AA" w:rsidRPr="003112AD">
        <w:rPr>
          <w:rFonts w:cstheme="minorHAnsi"/>
          <w:i/>
          <w:color w:val="44546A" w:themeColor="text2"/>
        </w:rPr>
        <w:t>eclutamento e di formazione degli insegnanti</w:t>
      </w:r>
      <w:r w:rsidR="009D5D20" w:rsidRPr="003112AD">
        <w:rPr>
          <w:rFonts w:cstheme="minorHAnsi"/>
          <w:i/>
          <w:color w:val="44546A" w:themeColor="text2"/>
        </w:rPr>
        <w:t>”</w:t>
      </w:r>
      <w:r w:rsidR="00FD17AA" w:rsidRPr="003112AD">
        <w:rPr>
          <w:rFonts w:cstheme="minorHAnsi"/>
          <w:color w:val="44546A" w:themeColor="text2"/>
        </w:rPr>
        <w:t xml:space="preserve"> da condurre attraverso la creazione di una Scuola di Alta Formazione e formazione in servizio p</w:t>
      </w:r>
      <w:r w:rsidR="00D15361" w:rsidRPr="003112AD">
        <w:rPr>
          <w:rFonts w:cstheme="minorHAnsi"/>
          <w:color w:val="44546A" w:themeColor="text2"/>
        </w:rPr>
        <w:t xml:space="preserve">er: </w:t>
      </w:r>
      <w:r w:rsidR="00FD17AA" w:rsidRPr="003112AD">
        <w:rPr>
          <w:rFonts w:cstheme="minorHAnsi"/>
          <w:color w:val="44546A" w:themeColor="text2"/>
        </w:rPr>
        <w:t>dirigenti scolastici, docenti e personale tecnico e amministrativo.</w:t>
      </w:r>
    </w:p>
    <w:p w14:paraId="6F2F0FE5" w14:textId="120C6297" w:rsidR="009D5D20" w:rsidRPr="003112AD" w:rsidRDefault="00FD17AA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Nella storia del nostro Paese, le scuole di alta formazione sono state pensate e realizzate per formare il segmento alto della burocrazia, la c</w:t>
      </w:r>
      <w:r w:rsidR="009D5D20" w:rsidRPr="003112AD">
        <w:rPr>
          <w:rFonts w:cstheme="minorHAnsi"/>
          <w:color w:val="44546A" w:themeColor="text2"/>
        </w:rPr>
        <w:t>lasse che avrebbe governato la N</w:t>
      </w:r>
      <w:r w:rsidRPr="003112AD">
        <w:rPr>
          <w:rFonts w:cstheme="minorHAnsi"/>
          <w:color w:val="44546A" w:themeColor="text2"/>
        </w:rPr>
        <w:t>azione</w:t>
      </w:r>
      <w:r w:rsidR="009D5D20" w:rsidRPr="003112AD">
        <w:rPr>
          <w:rFonts w:cstheme="minorHAnsi"/>
          <w:color w:val="44546A" w:themeColor="text2"/>
        </w:rPr>
        <w:t>,</w:t>
      </w:r>
      <w:r w:rsidRPr="003112AD">
        <w:rPr>
          <w:rFonts w:cstheme="minorHAnsi"/>
          <w:color w:val="44546A" w:themeColor="text2"/>
        </w:rPr>
        <w:t xml:space="preserve"> </w:t>
      </w:r>
      <w:r w:rsidR="00D15361" w:rsidRPr="003112AD">
        <w:rPr>
          <w:rFonts w:cstheme="minorHAnsi"/>
          <w:color w:val="44546A" w:themeColor="text2"/>
        </w:rPr>
        <w:t xml:space="preserve">quella </w:t>
      </w:r>
      <w:r w:rsidRPr="003112AD">
        <w:rPr>
          <w:rFonts w:cstheme="minorHAnsi"/>
          <w:color w:val="44546A" w:themeColor="text2"/>
        </w:rPr>
        <w:t>che necessita di solide conoscenze tecnico-giuridiche. Mutuare quel modello assumendolo come utile per la scuola espone a gravissime criticità di pensiero</w:t>
      </w:r>
      <w:r w:rsidR="00D15361" w:rsidRPr="003112AD">
        <w:rPr>
          <w:rFonts w:cstheme="minorHAnsi"/>
          <w:color w:val="44546A" w:themeColor="text2"/>
        </w:rPr>
        <w:t>, prima ancora che di azione</w:t>
      </w:r>
      <w:r w:rsidRPr="003112AD">
        <w:rPr>
          <w:rFonts w:cstheme="minorHAnsi"/>
          <w:color w:val="44546A" w:themeColor="text2"/>
        </w:rPr>
        <w:t>. “L’arte e la scienza sono libere e libero ne è l’insegnamento”. Tra l’art.33 della Costituzione e il Piano di Riforma (cfr. punto 2.2</w:t>
      </w:r>
      <w:r w:rsidR="005C2034" w:rsidRPr="003112AD">
        <w:rPr>
          <w:rFonts w:cstheme="minorHAnsi"/>
          <w:color w:val="44546A" w:themeColor="text2"/>
        </w:rPr>
        <w:t xml:space="preserve">) </w:t>
      </w:r>
      <w:r w:rsidRPr="003112AD">
        <w:rPr>
          <w:rFonts w:cstheme="minorHAnsi"/>
          <w:color w:val="44546A" w:themeColor="text2"/>
        </w:rPr>
        <w:t xml:space="preserve">esiste una distanza </w:t>
      </w:r>
      <w:r w:rsidR="005C2034" w:rsidRPr="003112AD">
        <w:rPr>
          <w:rFonts w:cstheme="minorHAnsi"/>
          <w:color w:val="44546A" w:themeColor="text2"/>
        </w:rPr>
        <w:t>incommensurabile</w:t>
      </w:r>
      <w:r w:rsidRPr="003112AD">
        <w:rPr>
          <w:rFonts w:cstheme="minorHAnsi"/>
          <w:color w:val="44546A" w:themeColor="text2"/>
        </w:rPr>
        <w:t>, gli insegnanti hanno bisogno d</w:t>
      </w:r>
      <w:r w:rsidR="001262A4" w:rsidRPr="003112AD">
        <w:rPr>
          <w:rFonts w:cstheme="minorHAnsi"/>
          <w:color w:val="44546A" w:themeColor="text2"/>
        </w:rPr>
        <w:t xml:space="preserve">i molte cose, ma non </w:t>
      </w:r>
      <w:r w:rsidRPr="003112AD">
        <w:rPr>
          <w:rFonts w:cstheme="minorHAnsi"/>
          <w:color w:val="44546A" w:themeColor="text2"/>
        </w:rPr>
        <w:t xml:space="preserve">di una scuola che li formi per omogeneizzarne il pensiero. </w:t>
      </w:r>
      <w:r w:rsidR="003112AD">
        <w:rPr>
          <w:rFonts w:cstheme="minorHAnsi"/>
          <w:color w:val="44546A" w:themeColor="text2"/>
        </w:rPr>
        <w:t xml:space="preserve"> </w:t>
      </w:r>
      <w:r w:rsidR="009D5D20" w:rsidRPr="003112AD">
        <w:rPr>
          <w:rFonts w:cstheme="minorHAnsi"/>
          <w:iCs/>
          <w:color w:val="44546A" w:themeColor="text2"/>
        </w:rPr>
        <w:t>Per la UIL SCUOLA i</w:t>
      </w:r>
      <w:r w:rsidR="005C2034" w:rsidRPr="003112AD">
        <w:rPr>
          <w:rFonts w:cstheme="minorHAnsi"/>
          <w:iCs/>
          <w:color w:val="44546A" w:themeColor="text2"/>
        </w:rPr>
        <w:t>l confronto parte</w:t>
      </w:r>
      <w:r w:rsidRPr="003112AD">
        <w:rPr>
          <w:rFonts w:cstheme="minorHAnsi"/>
          <w:iCs/>
          <w:color w:val="44546A" w:themeColor="text2"/>
        </w:rPr>
        <w:t xml:space="preserve"> con il piede sbagliato</w:t>
      </w:r>
      <w:r w:rsidR="003112AD">
        <w:rPr>
          <w:rFonts w:cstheme="minorHAnsi"/>
          <w:iCs/>
          <w:color w:val="44546A" w:themeColor="text2"/>
        </w:rPr>
        <w:t>.</w:t>
      </w:r>
    </w:p>
    <w:p w14:paraId="7B81C37E" w14:textId="77777777" w:rsidR="00FD17AA" w:rsidRPr="003112AD" w:rsidRDefault="009D5D20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La Segreteria Nazionale</w:t>
      </w:r>
      <w:r w:rsidR="00FD17AA" w:rsidRPr="003112AD">
        <w:rPr>
          <w:rFonts w:cstheme="minorHAnsi"/>
          <w:color w:val="44546A" w:themeColor="text2"/>
        </w:rPr>
        <w:t xml:space="preserve">  </w:t>
      </w:r>
    </w:p>
    <w:p w14:paraId="3C35A9FE" w14:textId="77777777" w:rsidR="00DD72D3" w:rsidRPr="003112AD" w:rsidRDefault="00537297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 xml:space="preserve">  </w:t>
      </w:r>
    </w:p>
    <w:sectPr w:rsidR="00DD72D3" w:rsidRPr="00311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B68D" w14:textId="77777777" w:rsidR="00AB41E9" w:rsidRDefault="00AB41E9" w:rsidP="009D5D20">
      <w:pPr>
        <w:spacing w:after="0" w:line="240" w:lineRule="auto"/>
      </w:pPr>
      <w:r>
        <w:separator/>
      </w:r>
    </w:p>
  </w:endnote>
  <w:endnote w:type="continuationSeparator" w:id="0">
    <w:p w14:paraId="59F90A19" w14:textId="77777777" w:rsidR="00AB41E9" w:rsidRDefault="00AB41E9" w:rsidP="009D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91BF" w14:textId="77777777" w:rsidR="00AB41E9" w:rsidRDefault="00AB41E9" w:rsidP="009D5D20">
      <w:pPr>
        <w:spacing w:after="0" w:line="240" w:lineRule="auto"/>
      </w:pPr>
      <w:r>
        <w:separator/>
      </w:r>
    </w:p>
  </w:footnote>
  <w:footnote w:type="continuationSeparator" w:id="0">
    <w:p w14:paraId="3BFB4A97" w14:textId="77777777" w:rsidR="00AB41E9" w:rsidRDefault="00AB41E9" w:rsidP="009D5D20">
      <w:pPr>
        <w:spacing w:after="0" w:line="240" w:lineRule="auto"/>
      </w:pPr>
      <w:r>
        <w:continuationSeparator/>
      </w:r>
    </w:p>
  </w:footnote>
  <w:footnote w:id="1">
    <w:p w14:paraId="233BD105" w14:textId="070E9459" w:rsidR="009D5D20" w:rsidRDefault="009D5D20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D3"/>
    <w:rsid w:val="00081837"/>
    <w:rsid w:val="0011405C"/>
    <w:rsid w:val="001262A4"/>
    <w:rsid w:val="002005CA"/>
    <w:rsid w:val="00293D20"/>
    <w:rsid w:val="003112AD"/>
    <w:rsid w:val="00480880"/>
    <w:rsid w:val="00537297"/>
    <w:rsid w:val="005C072E"/>
    <w:rsid w:val="005C2034"/>
    <w:rsid w:val="0066548D"/>
    <w:rsid w:val="00733B3C"/>
    <w:rsid w:val="007429C7"/>
    <w:rsid w:val="008075A0"/>
    <w:rsid w:val="009D5D20"/>
    <w:rsid w:val="00A42AAD"/>
    <w:rsid w:val="00AB28A6"/>
    <w:rsid w:val="00AB41E9"/>
    <w:rsid w:val="00BA79DE"/>
    <w:rsid w:val="00D15361"/>
    <w:rsid w:val="00DD72D3"/>
    <w:rsid w:val="00F44CED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F41C"/>
  <w15:chartTrackingRefBased/>
  <w15:docId w15:val="{4135D485-0579-489B-A247-ED1540A2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D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5D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5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541A-9F5E-492F-83B5-9D0C1161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Francesca Ricci</cp:lastModifiedBy>
  <cp:revision>2</cp:revision>
  <dcterms:created xsi:type="dcterms:W3CDTF">2021-09-06T13:38:00Z</dcterms:created>
  <dcterms:modified xsi:type="dcterms:W3CDTF">2021-09-06T13:38:00Z</dcterms:modified>
</cp:coreProperties>
</file>